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6182" w14:textId="77777777" w:rsidR="00E317D1" w:rsidRDefault="00E317D1" w:rsidP="00E317D1">
      <w:pPr>
        <w:keepNext/>
        <w:keepLines/>
        <w:spacing w:before="100" w:beforeAutospacing="1" w:after="0" w:line="240" w:lineRule="auto"/>
        <w:outlineLvl w:val="1"/>
        <w:rPr>
          <w:rFonts w:ascii="Work Sans SemiBold" w:eastAsia="Times New Roman" w:hAnsi="Work Sans SemiBold" w:cs="Times New Roman"/>
          <w:b/>
          <w:bCs/>
          <w:color w:val="002060"/>
          <w:kern w:val="2"/>
          <w:sz w:val="60"/>
          <w:szCs w:val="60"/>
        </w:rPr>
      </w:pPr>
    </w:p>
    <w:p w14:paraId="3B9B4B23" w14:textId="77777777" w:rsidR="006C25FA" w:rsidRDefault="006C25FA" w:rsidP="00E317D1">
      <w:pPr>
        <w:keepNext/>
        <w:keepLines/>
        <w:spacing w:before="100" w:beforeAutospacing="1" w:after="0" w:line="240" w:lineRule="auto"/>
        <w:outlineLvl w:val="1"/>
        <w:rPr>
          <w:rFonts w:ascii="Work Sans SemiBold" w:eastAsia="Times New Roman" w:hAnsi="Work Sans SemiBold" w:cs="Times New Roman"/>
          <w:b/>
          <w:bCs/>
          <w:color w:val="002060"/>
          <w:kern w:val="2"/>
          <w:sz w:val="60"/>
          <w:szCs w:val="60"/>
        </w:rPr>
      </w:pPr>
    </w:p>
    <w:p w14:paraId="09C55D6D" w14:textId="77777777" w:rsidR="006C25FA" w:rsidRDefault="006C25FA" w:rsidP="00E317D1">
      <w:pPr>
        <w:keepNext/>
        <w:keepLines/>
        <w:spacing w:before="100" w:beforeAutospacing="1" w:after="0" w:line="240" w:lineRule="auto"/>
        <w:outlineLvl w:val="1"/>
        <w:rPr>
          <w:rFonts w:ascii="Work Sans SemiBold" w:eastAsia="Times New Roman" w:hAnsi="Work Sans SemiBold" w:cs="Times New Roman"/>
          <w:b/>
          <w:bCs/>
          <w:color w:val="002060"/>
          <w:kern w:val="2"/>
          <w:sz w:val="60"/>
          <w:szCs w:val="60"/>
        </w:rPr>
      </w:pPr>
    </w:p>
    <w:p w14:paraId="452DA75F" w14:textId="08A00CA6" w:rsidR="001F6AC5" w:rsidRDefault="6EDCC6B2" w:rsidP="003B014B">
      <w:pPr>
        <w:pStyle w:val="Title"/>
      </w:pPr>
      <w:r>
        <w:t>Call for partners</w:t>
      </w:r>
      <w:r w:rsidR="00495678">
        <w:t xml:space="preserve">: IVCC Field </w:t>
      </w:r>
      <w:r w:rsidR="00AD7211">
        <w:t>Research</w:t>
      </w:r>
    </w:p>
    <w:p w14:paraId="6E98F8AE" w14:textId="4BE6CE48" w:rsidR="00E317D1" w:rsidRPr="003B014B" w:rsidRDefault="00D8D1F9" w:rsidP="528B372C">
      <w:pPr>
        <w:pStyle w:val="Title"/>
        <w:keepNext/>
        <w:keepLines/>
        <w:spacing w:beforeAutospacing="1" w:after="0"/>
      </w:pPr>
      <w:r>
        <w:t xml:space="preserve"> </w:t>
      </w:r>
    </w:p>
    <w:p w14:paraId="1585E6B7" w14:textId="77777777" w:rsidR="00E317D1" w:rsidRPr="003B014B" w:rsidRDefault="00E317D1" w:rsidP="528B372C"/>
    <w:p w14:paraId="2E26AB44" w14:textId="77777777" w:rsidR="00E317D1" w:rsidRPr="003B014B" w:rsidRDefault="00E317D1" w:rsidP="528B372C">
      <w:pPr>
        <w:keepNext/>
        <w:keepLines/>
        <w:spacing w:beforeAutospacing="1" w:after="0" w:line="240" w:lineRule="auto"/>
        <w:outlineLvl w:val="1"/>
        <w:rPr>
          <w:rFonts w:ascii="Work Sans SemiBold" w:eastAsia="Times New Roman" w:hAnsi="Work Sans SemiBold" w:cs="Times New Roman"/>
          <w:b/>
          <w:bCs/>
          <w:color w:val="002060"/>
          <w:sz w:val="60"/>
          <w:szCs w:val="60"/>
        </w:rPr>
      </w:pPr>
    </w:p>
    <w:p w14:paraId="3EBADF0A" w14:textId="654D7013" w:rsidR="00E317D1" w:rsidRPr="003B014B" w:rsidRDefault="00E317D1" w:rsidP="000B769C"/>
    <w:p w14:paraId="2743B283" w14:textId="73EB5694" w:rsidR="00E317D1" w:rsidRPr="00E317D1" w:rsidRDefault="00E317D1" w:rsidP="00E317D1">
      <w:pPr>
        <w:spacing w:after="0" w:line="240" w:lineRule="auto"/>
        <w:rPr>
          <w:rFonts w:ascii="Work Sans SemiBold" w:eastAsia="Calibri" w:hAnsi="Work Sans SemiBold" w:cs="Times New Roman"/>
          <w:kern w:val="2"/>
          <w:sz w:val="20"/>
          <w:szCs w:val="24"/>
        </w:rPr>
      </w:pPr>
      <w:r w:rsidRPr="00E317D1">
        <w:rPr>
          <w:rFonts w:ascii="Work Sans SemiBold" w:eastAsia="Calibri" w:hAnsi="Work Sans SemiBold" w:cs="Times New Roman"/>
          <w:kern w:val="2"/>
          <w:sz w:val="20"/>
          <w:szCs w:val="24"/>
        </w:rPr>
        <w:br/>
      </w:r>
      <w:r w:rsidR="00347387">
        <w:rPr>
          <w:rStyle w:val="SubtitleChar"/>
        </w:rPr>
        <w:t>Information for applica</w:t>
      </w:r>
      <w:r w:rsidR="00796D12">
        <w:rPr>
          <w:rStyle w:val="SubtitleChar"/>
        </w:rPr>
        <w:t>nts</w:t>
      </w:r>
    </w:p>
    <w:p w14:paraId="6B2418D7" w14:textId="31C03321" w:rsidR="00E317D1" w:rsidRPr="00E317D1" w:rsidRDefault="003040C9" w:rsidP="00E317D1">
      <w:pPr>
        <w:spacing w:after="0" w:line="240" w:lineRule="auto"/>
        <w:rPr>
          <w:rFonts w:eastAsia="Calibri" w:cs="Times New Roman"/>
          <w:kern w:val="2"/>
          <w:sz w:val="20"/>
          <w:szCs w:val="24"/>
        </w:rPr>
      </w:pPr>
      <w:r>
        <w:rPr>
          <w:noProof/>
        </w:rPr>
        <w:drawing>
          <wp:anchor distT="0" distB="0" distL="114300" distR="114300" simplePos="0" relativeHeight="251658240" behindDoc="1" locked="1" layoutInCell="1" allowOverlap="1" wp14:anchorId="35764E55" wp14:editId="15CED678">
            <wp:simplePos x="0" y="0"/>
            <wp:positionH relativeFrom="column">
              <wp:posOffset>1504950</wp:posOffset>
            </wp:positionH>
            <wp:positionV relativeFrom="page">
              <wp:posOffset>4448810</wp:posOffset>
            </wp:positionV>
            <wp:extent cx="9408795" cy="10533380"/>
            <wp:effectExtent l="0" t="0" r="0" b="0"/>
            <wp:wrapNone/>
            <wp:docPr id="1486761593" name="Picture 2" descr="A colorful light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5409" name="Picture 2" descr="A colorful light in the dark&#10;&#10;AI-generated content may be incorrect."/>
                    <pic:cNvPicPr/>
                  </pic:nvPicPr>
                  <pic:blipFill>
                    <a:blip r:embed="rId11">
                      <a:extLst>
                        <a:ext uri="{28A0092B-C50C-407E-A947-70E740481C1C}">
                          <a14:useLocalDpi xmlns:a14="http://schemas.microsoft.com/office/drawing/2010/main" val="0"/>
                        </a:ext>
                      </a:extLst>
                    </a:blip>
                    <a:srcRect l="41" r="41"/>
                    <a:stretch>
                      <a:fillRect/>
                    </a:stretch>
                  </pic:blipFill>
                  <pic:spPr bwMode="auto">
                    <a:xfrm>
                      <a:off x="0" y="0"/>
                      <a:ext cx="9408795" cy="10533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D9D45C" w14:textId="450E8AE9" w:rsidR="00E317D1" w:rsidRPr="00412487" w:rsidRDefault="00E317D1" w:rsidP="03510820">
      <w:pPr>
        <w:spacing w:after="0" w:line="240" w:lineRule="auto"/>
        <w:rPr>
          <w:rFonts w:eastAsia="Calibri" w:cs="Times New Roman"/>
          <w:i/>
          <w:kern w:val="2"/>
          <w:sz w:val="20"/>
          <w:szCs w:val="20"/>
          <w:highlight w:val="yellow"/>
        </w:rPr>
      </w:pPr>
    </w:p>
    <w:p w14:paraId="229615D2" w14:textId="70D7FA2E" w:rsidR="007B417B" w:rsidRDefault="007B417B" w:rsidP="00792300"/>
    <w:p w14:paraId="28A598B8" w14:textId="77777777" w:rsidR="007B417B" w:rsidRDefault="007B417B">
      <w:r>
        <w:br w:type="page"/>
      </w:r>
    </w:p>
    <w:sdt>
      <w:sdtPr>
        <w:rPr>
          <w:rFonts w:ascii="Verdana" w:eastAsiaTheme="minorEastAsia" w:hAnsi="Verdana" w:cstheme="minorBidi"/>
          <w:color w:val="071547"/>
          <w:sz w:val="22"/>
          <w:szCs w:val="22"/>
          <w:lang w:val="en-GB"/>
          <w14:ligatures w14:val="standardContextual"/>
        </w:rPr>
        <w:id w:val="26690110"/>
        <w:docPartObj>
          <w:docPartGallery w:val="Table of Contents"/>
          <w:docPartUnique/>
        </w:docPartObj>
      </w:sdtPr>
      <w:sdtEndPr>
        <w:rPr>
          <w:b/>
          <w:bCs/>
        </w:rPr>
      </w:sdtEndPr>
      <w:sdtContent>
        <w:p w14:paraId="22B9A649" w14:textId="7CBBE353" w:rsidR="00380F7C" w:rsidRDefault="009F6489">
          <w:pPr>
            <w:pStyle w:val="TOCHeading"/>
            <w:rPr>
              <w:rFonts w:ascii="Work Sans SemiBold" w:hAnsi="Work Sans SemiBold"/>
              <w:color w:val="002060"/>
            </w:rPr>
          </w:pPr>
          <w:r w:rsidRPr="009F6489">
            <w:rPr>
              <w:rFonts w:ascii="Work Sans SemiBold" w:hAnsi="Work Sans SemiBold"/>
              <w:color w:val="002060"/>
            </w:rPr>
            <w:t>Contents</w:t>
          </w:r>
        </w:p>
        <w:p w14:paraId="2EDA78C0" w14:textId="77777777" w:rsidR="0099626F" w:rsidRPr="00705A21" w:rsidRDefault="0099626F" w:rsidP="0099626F">
          <w:pPr>
            <w:rPr>
              <w:color w:val="002060"/>
              <w:lang w:val="en-US"/>
            </w:rPr>
          </w:pPr>
        </w:p>
        <w:p w14:paraId="6455A4C4" w14:textId="25EBB24A" w:rsidR="006E5582" w:rsidRDefault="00C139FE">
          <w:pPr>
            <w:pStyle w:val="TOC1"/>
            <w:rPr>
              <w:rFonts w:asciiTheme="minorHAnsi" w:eastAsiaTheme="minorEastAsia" w:hAnsiTheme="minorHAnsi"/>
              <w:noProof/>
              <w:color w:val="auto"/>
              <w:kern w:val="2"/>
              <w:sz w:val="24"/>
              <w:szCs w:val="24"/>
              <w:lang w:eastAsia="en-GB"/>
            </w:rPr>
          </w:pPr>
          <w:r w:rsidRPr="00C139FE">
            <w:rPr>
              <w:color w:val="002060"/>
            </w:rPr>
            <w:fldChar w:fldCharType="begin"/>
          </w:r>
          <w:r w:rsidRPr="00C139FE">
            <w:rPr>
              <w:color w:val="002060"/>
            </w:rPr>
            <w:instrText xml:space="preserve"> TOC \o "1-1" \h \z \u </w:instrText>
          </w:r>
          <w:r w:rsidRPr="00C139FE">
            <w:rPr>
              <w:color w:val="002060"/>
            </w:rPr>
            <w:fldChar w:fldCharType="separate"/>
          </w:r>
          <w:hyperlink w:anchor="_Toc229579922" w:history="1">
            <w:r w:rsidR="006E5582" w:rsidRPr="001819B4">
              <w:rPr>
                <w:rStyle w:val="Hyperlink"/>
                <w:noProof/>
              </w:rPr>
              <w:t>Executive Summary</w:t>
            </w:r>
            <w:r w:rsidR="006E5582">
              <w:rPr>
                <w:noProof/>
                <w:webHidden/>
              </w:rPr>
              <w:tab/>
            </w:r>
            <w:r w:rsidR="006E5582">
              <w:rPr>
                <w:noProof/>
                <w:webHidden/>
              </w:rPr>
              <w:fldChar w:fldCharType="begin"/>
            </w:r>
            <w:r w:rsidR="006E5582">
              <w:rPr>
                <w:noProof/>
                <w:webHidden/>
              </w:rPr>
              <w:instrText xml:space="preserve"> PAGEREF _Toc229579922 \h </w:instrText>
            </w:r>
            <w:r w:rsidR="006E5582">
              <w:rPr>
                <w:noProof/>
                <w:webHidden/>
              </w:rPr>
            </w:r>
            <w:r w:rsidR="006E5582">
              <w:rPr>
                <w:noProof/>
                <w:webHidden/>
              </w:rPr>
              <w:fldChar w:fldCharType="separate"/>
            </w:r>
            <w:r w:rsidR="006E5582">
              <w:rPr>
                <w:noProof/>
                <w:webHidden/>
              </w:rPr>
              <w:t>2</w:t>
            </w:r>
            <w:r w:rsidR="006E5582">
              <w:rPr>
                <w:noProof/>
                <w:webHidden/>
              </w:rPr>
              <w:fldChar w:fldCharType="end"/>
            </w:r>
          </w:hyperlink>
        </w:p>
        <w:p w14:paraId="449EE445" w14:textId="1344A74D" w:rsidR="006E5582" w:rsidRDefault="006E5582">
          <w:pPr>
            <w:pStyle w:val="TOC1"/>
            <w:rPr>
              <w:rFonts w:asciiTheme="minorHAnsi" w:eastAsiaTheme="minorEastAsia" w:hAnsiTheme="minorHAnsi"/>
              <w:noProof/>
              <w:color w:val="auto"/>
              <w:kern w:val="2"/>
              <w:sz w:val="24"/>
              <w:szCs w:val="24"/>
              <w:lang w:eastAsia="en-GB"/>
            </w:rPr>
          </w:pPr>
          <w:hyperlink w:anchor="_Toc229579923" w:history="1">
            <w:r w:rsidRPr="001819B4">
              <w:rPr>
                <w:rStyle w:val="Hyperlink"/>
                <w:noProof/>
                <w:lang w:val="fr-FR"/>
              </w:rPr>
              <w:t>Résumé exécutif : Recherche en conditions opérationnelles</w:t>
            </w:r>
            <w:r>
              <w:rPr>
                <w:noProof/>
                <w:webHidden/>
              </w:rPr>
              <w:tab/>
            </w:r>
            <w:r>
              <w:rPr>
                <w:noProof/>
                <w:webHidden/>
              </w:rPr>
              <w:fldChar w:fldCharType="begin"/>
            </w:r>
            <w:r>
              <w:rPr>
                <w:noProof/>
                <w:webHidden/>
              </w:rPr>
              <w:instrText xml:space="preserve"> PAGEREF _Toc229579923 \h </w:instrText>
            </w:r>
            <w:r>
              <w:rPr>
                <w:noProof/>
                <w:webHidden/>
              </w:rPr>
            </w:r>
            <w:r>
              <w:rPr>
                <w:noProof/>
                <w:webHidden/>
              </w:rPr>
              <w:fldChar w:fldCharType="separate"/>
            </w:r>
            <w:r>
              <w:rPr>
                <w:noProof/>
                <w:webHidden/>
              </w:rPr>
              <w:t>3</w:t>
            </w:r>
            <w:r>
              <w:rPr>
                <w:noProof/>
                <w:webHidden/>
              </w:rPr>
              <w:fldChar w:fldCharType="end"/>
            </w:r>
          </w:hyperlink>
        </w:p>
        <w:p w14:paraId="1EA80894" w14:textId="767406B4" w:rsidR="006E5582" w:rsidRDefault="006E5582">
          <w:pPr>
            <w:pStyle w:val="TOC1"/>
            <w:rPr>
              <w:rFonts w:asciiTheme="minorHAnsi" w:eastAsiaTheme="minorEastAsia" w:hAnsiTheme="minorHAnsi"/>
              <w:noProof/>
              <w:color w:val="auto"/>
              <w:kern w:val="2"/>
              <w:sz w:val="24"/>
              <w:szCs w:val="24"/>
              <w:lang w:eastAsia="en-GB"/>
            </w:rPr>
          </w:pPr>
          <w:hyperlink w:anchor="_Toc229579924" w:history="1">
            <w:r w:rsidRPr="001819B4">
              <w:rPr>
                <w:rStyle w:val="Hyperlink"/>
                <w:noProof/>
              </w:rPr>
              <w:t>1.</w:t>
            </w:r>
            <w:r>
              <w:rPr>
                <w:rFonts w:asciiTheme="minorHAnsi" w:eastAsiaTheme="minorEastAsia" w:hAnsiTheme="minorHAnsi"/>
                <w:noProof/>
                <w:color w:val="auto"/>
                <w:kern w:val="2"/>
                <w:sz w:val="24"/>
                <w:szCs w:val="24"/>
                <w:lang w:eastAsia="en-GB"/>
              </w:rPr>
              <w:tab/>
            </w:r>
            <w:r w:rsidRPr="001819B4">
              <w:rPr>
                <w:rStyle w:val="Hyperlink"/>
                <w:noProof/>
              </w:rPr>
              <w:t>Introduction</w:t>
            </w:r>
            <w:r>
              <w:rPr>
                <w:noProof/>
                <w:webHidden/>
              </w:rPr>
              <w:tab/>
            </w:r>
            <w:r>
              <w:rPr>
                <w:noProof/>
                <w:webHidden/>
              </w:rPr>
              <w:fldChar w:fldCharType="begin"/>
            </w:r>
            <w:r>
              <w:rPr>
                <w:noProof/>
                <w:webHidden/>
              </w:rPr>
              <w:instrText xml:space="preserve"> PAGEREF _Toc229579924 \h </w:instrText>
            </w:r>
            <w:r>
              <w:rPr>
                <w:noProof/>
                <w:webHidden/>
              </w:rPr>
            </w:r>
            <w:r>
              <w:rPr>
                <w:noProof/>
                <w:webHidden/>
              </w:rPr>
              <w:fldChar w:fldCharType="separate"/>
            </w:r>
            <w:r>
              <w:rPr>
                <w:noProof/>
                <w:webHidden/>
              </w:rPr>
              <w:t>4</w:t>
            </w:r>
            <w:r>
              <w:rPr>
                <w:noProof/>
                <w:webHidden/>
              </w:rPr>
              <w:fldChar w:fldCharType="end"/>
            </w:r>
          </w:hyperlink>
        </w:p>
        <w:p w14:paraId="2F5DE39E" w14:textId="09AA550A" w:rsidR="006E5582" w:rsidRDefault="006E5582">
          <w:pPr>
            <w:pStyle w:val="TOC1"/>
            <w:rPr>
              <w:rFonts w:asciiTheme="minorHAnsi" w:eastAsiaTheme="minorEastAsia" w:hAnsiTheme="minorHAnsi"/>
              <w:noProof/>
              <w:color w:val="auto"/>
              <w:kern w:val="2"/>
              <w:sz w:val="24"/>
              <w:szCs w:val="24"/>
              <w:lang w:eastAsia="en-GB"/>
            </w:rPr>
          </w:pPr>
          <w:hyperlink w:anchor="_Toc229579925" w:history="1">
            <w:r w:rsidRPr="001819B4">
              <w:rPr>
                <w:rStyle w:val="Hyperlink"/>
                <w:noProof/>
              </w:rPr>
              <w:t>2.</w:t>
            </w:r>
            <w:r>
              <w:rPr>
                <w:rFonts w:asciiTheme="minorHAnsi" w:eastAsiaTheme="minorEastAsia" w:hAnsiTheme="minorHAnsi"/>
                <w:noProof/>
                <w:color w:val="auto"/>
                <w:kern w:val="2"/>
                <w:sz w:val="24"/>
                <w:szCs w:val="24"/>
                <w:lang w:eastAsia="en-GB"/>
              </w:rPr>
              <w:tab/>
            </w:r>
            <w:r w:rsidRPr="001819B4">
              <w:rPr>
                <w:rStyle w:val="Hyperlink"/>
                <w:noProof/>
              </w:rPr>
              <w:t>Nature and scope of partnership</w:t>
            </w:r>
            <w:r>
              <w:rPr>
                <w:noProof/>
                <w:webHidden/>
              </w:rPr>
              <w:tab/>
            </w:r>
            <w:r>
              <w:rPr>
                <w:noProof/>
                <w:webHidden/>
              </w:rPr>
              <w:fldChar w:fldCharType="begin"/>
            </w:r>
            <w:r>
              <w:rPr>
                <w:noProof/>
                <w:webHidden/>
              </w:rPr>
              <w:instrText xml:space="preserve"> PAGEREF _Toc229579925 \h </w:instrText>
            </w:r>
            <w:r>
              <w:rPr>
                <w:noProof/>
                <w:webHidden/>
              </w:rPr>
            </w:r>
            <w:r>
              <w:rPr>
                <w:noProof/>
                <w:webHidden/>
              </w:rPr>
              <w:fldChar w:fldCharType="separate"/>
            </w:r>
            <w:r>
              <w:rPr>
                <w:noProof/>
                <w:webHidden/>
              </w:rPr>
              <w:t>4</w:t>
            </w:r>
            <w:r>
              <w:rPr>
                <w:noProof/>
                <w:webHidden/>
              </w:rPr>
              <w:fldChar w:fldCharType="end"/>
            </w:r>
          </w:hyperlink>
        </w:p>
        <w:p w14:paraId="3FF1F3AC" w14:textId="4F4BD0B2" w:rsidR="006E5582" w:rsidRDefault="006E5582">
          <w:pPr>
            <w:pStyle w:val="TOC1"/>
            <w:rPr>
              <w:rFonts w:asciiTheme="minorHAnsi" w:eastAsiaTheme="minorEastAsia" w:hAnsiTheme="minorHAnsi"/>
              <w:noProof/>
              <w:color w:val="auto"/>
              <w:kern w:val="2"/>
              <w:sz w:val="24"/>
              <w:szCs w:val="24"/>
              <w:lang w:eastAsia="en-GB"/>
            </w:rPr>
          </w:pPr>
          <w:hyperlink w:anchor="_Toc229579926" w:history="1">
            <w:r w:rsidRPr="001819B4">
              <w:rPr>
                <w:rStyle w:val="Hyperlink"/>
                <w:noProof/>
              </w:rPr>
              <w:t>3.</w:t>
            </w:r>
            <w:r>
              <w:rPr>
                <w:rFonts w:asciiTheme="minorHAnsi" w:eastAsiaTheme="minorEastAsia" w:hAnsiTheme="minorHAnsi"/>
                <w:noProof/>
                <w:color w:val="auto"/>
                <w:kern w:val="2"/>
                <w:sz w:val="24"/>
                <w:szCs w:val="24"/>
                <w:lang w:eastAsia="en-GB"/>
              </w:rPr>
              <w:tab/>
            </w:r>
            <w:r w:rsidRPr="001819B4">
              <w:rPr>
                <w:rStyle w:val="Hyperlink"/>
                <w:noProof/>
              </w:rPr>
              <w:t>Type of partner organisation and eligibility</w:t>
            </w:r>
            <w:r>
              <w:rPr>
                <w:noProof/>
                <w:webHidden/>
              </w:rPr>
              <w:tab/>
            </w:r>
            <w:r>
              <w:rPr>
                <w:noProof/>
                <w:webHidden/>
              </w:rPr>
              <w:fldChar w:fldCharType="begin"/>
            </w:r>
            <w:r>
              <w:rPr>
                <w:noProof/>
                <w:webHidden/>
              </w:rPr>
              <w:instrText xml:space="preserve"> PAGEREF _Toc229579926 \h </w:instrText>
            </w:r>
            <w:r>
              <w:rPr>
                <w:noProof/>
                <w:webHidden/>
              </w:rPr>
            </w:r>
            <w:r>
              <w:rPr>
                <w:noProof/>
                <w:webHidden/>
              </w:rPr>
              <w:fldChar w:fldCharType="separate"/>
            </w:r>
            <w:r>
              <w:rPr>
                <w:noProof/>
                <w:webHidden/>
              </w:rPr>
              <w:t>5</w:t>
            </w:r>
            <w:r>
              <w:rPr>
                <w:noProof/>
                <w:webHidden/>
              </w:rPr>
              <w:fldChar w:fldCharType="end"/>
            </w:r>
          </w:hyperlink>
        </w:p>
        <w:p w14:paraId="401DEE11" w14:textId="40149471" w:rsidR="006E5582" w:rsidRDefault="006E5582">
          <w:pPr>
            <w:pStyle w:val="TOC1"/>
            <w:rPr>
              <w:rFonts w:asciiTheme="minorHAnsi" w:eastAsiaTheme="minorEastAsia" w:hAnsiTheme="minorHAnsi"/>
              <w:noProof/>
              <w:color w:val="auto"/>
              <w:kern w:val="2"/>
              <w:sz w:val="24"/>
              <w:szCs w:val="24"/>
              <w:lang w:eastAsia="en-GB"/>
            </w:rPr>
          </w:pPr>
          <w:hyperlink w:anchor="_Toc229579927" w:history="1">
            <w:r w:rsidRPr="001819B4">
              <w:rPr>
                <w:rStyle w:val="Hyperlink"/>
                <w:noProof/>
              </w:rPr>
              <w:t>4.</w:t>
            </w:r>
            <w:r>
              <w:rPr>
                <w:rFonts w:asciiTheme="minorHAnsi" w:eastAsiaTheme="minorEastAsia" w:hAnsiTheme="minorHAnsi"/>
                <w:noProof/>
                <w:color w:val="auto"/>
                <w:kern w:val="2"/>
                <w:sz w:val="24"/>
                <w:szCs w:val="24"/>
                <w:lang w:eastAsia="en-GB"/>
              </w:rPr>
              <w:tab/>
            </w:r>
            <w:r w:rsidRPr="001819B4">
              <w:rPr>
                <w:rStyle w:val="Hyperlink"/>
                <w:noProof/>
              </w:rPr>
              <w:t>Specifications and scope of work</w:t>
            </w:r>
            <w:r>
              <w:rPr>
                <w:noProof/>
                <w:webHidden/>
              </w:rPr>
              <w:tab/>
            </w:r>
            <w:r>
              <w:rPr>
                <w:noProof/>
                <w:webHidden/>
              </w:rPr>
              <w:fldChar w:fldCharType="begin"/>
            </w:r>
            <w:r>
              <w:rPr>
                <w:noProof/>
                <w:webHidden/>
              </w:rPr>
              <w:instrText xml:space="preserve"> PAGEREF _Toc229579927 \h </w:instrText>
            </w:r>
            <w:r>
              <w:rPr>
                <w:noProof/>
                <w:webHidden/>
              </w:rPr>
            </w:r>
            <w:r>
              <w:rPr>
                <w:noProof/>
                <w:webHidden/>
              </w:rPr>
              <w:fldChar w:fldCharType="separate"/>
            </w:r>
            <w:r>
              <w:rPr>
                <w:noProof/>
                <w:webHidden/>
              </w:rPr>
              <w:t>6</w:t>
            </w:r>
            <w:r>
              <w:rPr>
                <w:noProof/>
                <w:webHidden/>
              </w:rPr>
              <w:fldChar w:fldCharType="end"/>
            </w:r>
          </w:hyperlink>
        </w:p>
        <w:p w14:paraId="5742E12F" w14:textId="4F44EB2E" w:rsidR="006E5582" w:rsidRDefault="006E5582">
          <w:pPr>
            <w:pStyle w:val="TOC1"/>
            <w:rPr>
              <w:rFonts w:asciiTheme="minorHAnsi" w:eastAsiaTheme="minorEastAsia" w:hAnsiTheme="minorHAnsi"/>
              <w:noProof/>
              <w:color w:val="auto"/>
              <w:kern w:val="2"/>
              <w:sz w:val="24"/>
              <w:szCs w:val="24"/>
              <w:lang w:eastAsia="en-GB"/>
            </w:rPr>
          </w:pPr>
          <w:hyperlink w:anchor="_Toc229579928" w:history="1">
            <w:r w:rsidRPr="001819B4">
              <w:rPr>
                <w:rStyle w:val="Hyperlink"/>
                <w:noProof/>
              </w:rPr>
              <w:t>5.</w:t>
            </w:r>
            <w:r>
              <w:rPr>
                <w:rFonts w:asciiTheme="minorHAnsi" w:eastAsiaTheme="minorEastAsia" w:hAnsiTheme="minorHAnsi"/>
                <w:noProof/>
                <w:color w:val="auto"/>
                <w:kern w:val="2"/>
                <w:sz w:val="24"/>
                <w:szCs w:val="24"/>
                <w:lang w:eastAsia="en-GB"/>
              </w:rPr>
              <w:tab/>
            </w:r>
            <w:r w:rsidRPr="001819B4">
              <w:rPr>
                <w:rStyle w:val="Hyperlink"/>
                <w:noProof/>
              </w:rPr>
              <w:t>Instructions for applicants</w:t>
            </w:r>
            <w:r>
              <w:rPr>
                <w:noProof/>
                <w:webHidden/>
              </w:rPr>
              <w:tab/>
            </w:r>
            <w:r>
              <w:rPr>
                <w:noProof/>
                <w:webHidden/>
              </w:rPr>
              <w:fldChar w:fldCharType="begin"/>
            </w:r>
            <w:r>
              <w:rPr>
                <w:noProof/>
                <w:webHidden/>
              </w:rPr>
              <w:instrText xml:space="preserve"> PAGEREF _Toc229579928 \h </w:instrText>
            </w:r>
            <w:r>
              <w:rPr>
                <w:noProof/>
                <w:webHidden/>
              </w:rPr>
            </w:r>
            <w:r>
              <w:rPr>
                <w:noProof/>
                <w:webHidden/>
              </w:rPr>
              <w:fldChar w:fldCharType="separate"/>
            </w:r>
            <w:r>
              <w:rPr>
                <w:noProof/>
                <w:webHidden/>
              </w:rPr>
              <w:t>10</w:t>
            </w:r>
            <w:r>
              <w:rPr>
                <w:noProof/>
                <w:webHidden/>
              </w:rPr>
              <w:fldChar w:fldCharType="end"/>
            </w:r>
          </w:hyperlink>
        </w:p>
        <w:p w14:paraId="3BC5AE34" w14:textId="52B040CF" w:rsidR="006E5582" w:rsidRDefault="006E5582">
          <w:pPr>
            <w:pStyle w:val="TOC1"/>
            <w:rPr>
              <w:rFonts w:asciiTheme="minorHAnsi" w:eastAsiaTheme="minorEastAsia" w:hAnsiTheme="minorHAnsi"/>
              <w:noProof/>
              <w:color w:val="auto"/>
              <w:kern w:val="2"/>
              <w:sz w:val="24"/>
              <w:szCs w:val="24"/>
              <w:lang w:eastAsia="en-GB"/>
            </w:rPr>
          </w:pPr>
          <w:hyperlink w:anchor="_Toc229579929" w:history="1">
            <w:r w:rsidRPr="001819B4">
              <w:rPr>
                <w:rStyle w:val="Hyperlink"/>
                <w:noProof/>
              </w:rPr>
              <w:t>6.</w:t>
            </w:r>
            <w:r>
              <w:rPr>
                <w:rFonts w:asciiTheme="minorHAnsi" w:eastAsiaTheme="minorEastAsia" w:hAnsiTheme="minorHAnsi"/>
                <w:noProof/>
                <w:color w:val="auto"/>
                <w:kern w:val="2"/>
                <w:sz w:val="24"/>
                <w:szCs w:val="24"/>
                <w:lang w:eastAsia="en-GB"/>
              </w:rPr>
              <w:tab/>
            </w:r>
            <w:r w:rsidRPr="001819B4">
              <w:rPr>
                <w:rStyle w:val="Hyperlink"/>
                <w:noProof/>
              </w:rPr>
              <w:t>Selection criteria</w:t>
            </w:r>
            <w:r>
              <w:rPr>
                <w:noProof/>
                <w:webHidden/>
              </w:rPr>
              <w:tab/>
            </w:r>
            <w:r>
              <w:rPr>
                <w:noProof/>
                <w:webHidden/>
              </w:rPr>
              <w:fldChar w:fldCharType="begin"/>
            </w:r>
            <w:r>
              <w:rPr>
                <w:noProof/>
                <w:webHidden/>
              </w:rPr>
              <w:instrText xml:space="preserve"> PAGEREF _Toc229579929 \h </w:instrText>
            </w:r>
            <w:r>
              <w:rPr>
                <w:noProof/>
                <w:webHidden/>
              </w:rPr>
            </w:r>
            <w:r>
              <w:rPr>
                <w:noProof/>
                <w:webHidden/>
              </w:rPr>
              <w:fldChar w:fldCharType="separate"/>
            </w:r>
            <w:r>
              <w:rPr>
                <w:noProof/>
                <w:webHidden/>
              </w:rPr>
              <w:t>11</w:t>
            </w:r>
            <w:r>
              <w:rPr>
                <w:noProof/>
                <w:webHidden/>
              </w:rPr>
              <w:fldChar w:fldCharType="end"/>
            </w:r>
          </w:hyperlink>
        </w:p>
        <w:p w14:paraId="29B8CA79" w14:textId="49220FA6" w:rsidR="006E5582" w:rsidRDefault="006E5582">
          <w:pPr>
            <w:pStyle w:val="TOC1"/>
            <w:rPr>
              <w:rFonts w:asciiTheme="minorHAnsi" w:eastAsiaTheme="minorEastAsia" w:hAnsiTheme="minorHAnsi"/>
              <w:noProof/>
              <w:color w:val="auto"/>
              <w:kern w:val="2"/>
              <w:sz w:val="24"/>
              <w:szCs w:val="24"/>
              <w:lang w:eastAsia="en-GB"/>
            </w:rPr>
          </w:pPr>
          <w:hyperlink w:anchor="_Toc229579930" w:history="1">
            <w:r w:rsidRPr="001819B4">
              <w:rPr>
                <w:rStyle w:val="Hyperlink"/>
                <w:noProof/>
              </w:rPr>
              <w:t>7.</w:t>
            </w:r>
            <w:r>
              <w:rPr>
                <w:rFonts w:asciiTheme="minorHAnsi" w:eastAsiaTheme="minorEastAsia" w:hAnsiTheme="minorHAnsi"/>
                <w:noProof/>
                <w:color w:val="auto"/>
                <w:kern w:val="2"/>
                <w:sz w:val="24"/>
                <w:szCs w:val="24"/>
                <w:lang w:eastAsia="en-GB"/>
              </w:rPr>
              <w:tab/>
            </w:r>
            <w:r w:rsidRPr="001819B4">
              <w:rPr>
                <w:rStyle w:val="Hyperlink"/>
                <w:noProof/>
              </w:rPr>
              <w:t>Conditions of call</w:t>
            </w:r>
            <w:r>
              <w:rPr>
                <w:noProof/>
                <w:webHidden/>
              </w:rPr>
              <w:tab/>
            </w:r>
            <w:r>
              <w:rPr>
                <w:noProof/>
                <w:webHidden/>
              </w:rPr>
              <w:fldChar w:fldCharType="begin"/>
            </w:r>
            <w:r>
              <w:rPr>
                <w:noProof/>
                <w:webHidden/>
              </w:rPr>
              <w:instrText xml:space="preserve"> PAGEREF _Toc229579930 \h </w:instrText>
            </w:r>
            <w:r>
              <w:rPr>
                <w:noProof/>
                <w:webHidden/>
              </w:rPr>
            </w:r>
            <w:r>
              <w:rPr>
                <w:noProof/>
                <w:webHidden/>
              </w:rPr>
              <w:fldChar w:fldCharType="separate"/>
            </w:r>
            <w:r>
              <w:rPr>
                <w:noProof/>
                <w:webHidden/>
              </w:rPr>
              <w:t>11</w:t>
            </w:r>
            <w:r>
              <w:rPr>
                <w:noProof/>
                <w:webHidden/>
              </w:rPr>
              <w:fldChar w:fldCharType="end"/>
            </w:r>
          </w:hyperlink>
        </w:p>
        <w:p w14:paraId="313C45AC" w14:textId="53E5EE18" w:rsidR="006E5582" w:rsidRDefault="006E5582">
          <w:pPr>
            <w:pStyle w:val="TOC1"/>
            <w:rPr>
              <w:rFonts w:asciiTheme="minorHAnsi" w:eastAsiaTheme="minorEastAsia" w:hAnsiTheme="minorHAnsi"/>
              <w:noProof/>
              <w:color w:val="auto"/>
              <w:kern w:val="2"/>
              <w:sz w:val="24"/>
              <w:szCs w:val="24"/>
              <w:lang w:eastAsia="en-GB"/>
            </w:rPr>
          </w:pPr>
          <w:hyperlink w:anchor="_Toc229579931" w:history="1">
            <w:r w:rsidRPr="001819B4">
              <w:rPr>
                <w:rStyle w:val="Hyperlink"/>
                <w:noProof/>
              </w:rPr>
              <w:t>8.</w:t>
            </w:r>
            <w:r>
              <w:rPr>
                <w:rFonts w:asciiTheme="minorHAnsi" w:eastAsiaTheme="minorEastAsia" w:hAnsiTheme="minorHAnsi"/>
                <w:noProof/>
                <w:color w:val="auto"/>
                <w:kern w:val="2"/>
                <w:sz w:val="24"/>
                <w:szCs w:val="24"/>
                <w:lang w:eastAsia="en-GB"/>
              </w:rPr>
              <w:tab/>
            </w:r>
            <w:r w:rsidRPr="001819B4">
              <w:rPr>
                <w:rStyle w:val="Hyperlink"/>
                <w:noProof/>
              </w:rPr>
              <w:t>If you have further questions</w:t>
            </w:r>
            <w:r>
              <w:rPr>
                <w:noProof/>
                <w:webHidden/>
              </w:rPr>
              <w:tab/>
            </w:r>
            <w:r>
              <w:rPr>
                <w:noProof/>
                <w:webHidden/>
              </w:rPr>
              <w:fldChar w:fldCharType="begin"/>
            </w:r>
            <w:r>
              <w:rPr>
                <w:noProof/>
                <w:webHidden/>
              </w:rPr>
              <w:instrText xml:space="preserve"> PAGEREF _Toc229579931 \h </w:instrText>
            </w:r>
            <w:r>
              <w:rPr>
                <w:noProof/>
                <w:webHidden/>
              </w:rPr>
            </w:r>
            <w:r>
              <w:rPr>
                <w:noProof/>
                <w:webHidden/>
              </w:rPr>
              <w:fldChar w:fldCharType="separate"/>
            </w:r>
            <w:r>
              <w:rPr>
                <w:noProof/>
                <w:webHidden/>
              </w:rPr>
              <w:t>12</w:t>
            </w:r>
            <w:r>
              <w:rPr>
                <w:noProof/>
                <w:webHidden/>
              </w:rPr>
              <w:fldChar w:fldCharType="end"/>
            </w:r>
          </w:hyperlink>
        </w:p>
        <w:p w14:paraId="097F39C5" w14:textId="7049966C" w:rsidR="00656D40" w:rsidRDefault="00C139FE" w:rsidP="00792300">
          <w:pPr>
            <w:rPr>
              <w:b/>
              <w:bCs/>
              <w:noProof/>
            </w:rPr>
          </w:pPr>
          <w:r w:rsidRPr="00C139FE">
            <w:rPr>
              <w:color w:val="002060"/>
            </w:rPr>
            <w:fldChar w:fldCharType="end"/>
          </w:r>
        </w:p>
      </w:sdtContent>
    </w:sdt>
    <w:p w14:paraId="0ACEDEEE" w14:textId="6D1F1C31" w:rsidR="00DB3C8A" w:rsidRPr="004A56D1" w:rsidRDefault="004A56D1" w:rsidP="004A56D1">
      <w:pPr>
        <w:pStyle w:val="Heading1"/>
      </w:pPr>
      <w:bookmarkStart w:id="0" w:name="_Toc229579922"/>
      <w:r w:rsidRPr="004A56D1">
        <w:t>Executive Summary</w:t>
      </w:r>
      <w:bookmarkEnd w:id="0"/>
    </w:p>
    <w:p w14:paraId="7F748DDD" w14:textId="77777777" w:rsidR="004A56D1" w:rsidRPr="004A56D1" w:rsidRDefault="004A56D1" w:rsidP="00792300"/>
    <w:p w14:paraId="0785A227" w14:textId="6CA1E4AF" w:rsidR="004A56D1" w:rsidRPr="004A56D1" w:rsidRDefault="004A56D1" w:rsidP="004A56D1">
      <w:r w:rsidRPr="004A56D1">
        <w:t xml:space="preserve">IVCC is looking for two partner facilities </w:t>
      </w:r>
      <w:r w:rsidR="00452775">
        <w:t xml:space="preserve">based </w:t>
      </w:r>
      <w:r w:rsidRPr="004A56D1">
        <w:t>in Sub-Saharan Africa</w:t>
      </w:r>
      <w:r w:rsidR="00E217AB">
        <w:t xml:space="preserve"> </w:t>
      </w:r>
      <w:r w:rsidR="00E217AB" w:rsidRPr="00E217AB">
        <w:t>to support field research on malaria vector control</w:t>
      </w:r>
      <w:r w:rsidRPr="004A56D1">
        <w:t xml:space="preserve">. One partner will be based in Central or West Africa, and the other in </w:t>
      </w:r>
      <w:r w:rsidR="002C7A03">
        <w:t xml:space="preserve">South or </w:t>
      </w:r>
      <w:r w:rsidRPr="004A56D1">
        <w:t>East Africa.</w:t>
      </w:r>
    </w:p>
    <w:p w14:paraId="3F4C6685" w14:textId="6B049D4C" w:rsidR="00116C11" w:rsidRDefault="00AB2C9C" w:rsidP="0076520C">
      <w:r>
        <w:t xml:space="preserve">The </w:t>
      </w:r>
      <w:r w:rsidR="00D71942">
        <w:t>successful</w:t>
      </w:r>
      <w:r>
        <w:t xml:space="preserve"> partner facilities should be recognised thought leaders in vector control, with a strong track record of research, publications, and/or contributions to policy</w:t>
      </w:r>
      <w:r w:rsidR="0076520C">
        <w:t xml:space="preserve"> </w:t>
      </w:r>
      <w:r>
        <w:t>documents</w:t>
      </w:r>
      <w:r w:rsidR="0076520C">
        <w:t xml:space="preserve">. </w:t>
      </w:r>
      <w:r>
        <w:t>GLP accreditation is not required, but partners must demonstrate systems aligned with Good Laboratory Practice (e.g. SOPs, staff training records, data management systems, and internal quality assurance).</w:t>
      </w:r>
    </w:p>
    <w:p w14:paraId="2CAA7588" w14:textId="60B87BDE" w:rsidR="004A56D1" w:rsidRPr="004A56D1" w:rsidRDefault="0076520C" w:rsidP="0076520C">
      <w:r>
        <w:t xml:space="preserve">The partner </w:t>
      </w:r>
      <w:r w:rsidR="004A56D1" w:rsidRPr="004A56D1">
        <w:t xml:space="preserve">should be able to carry out </w:t>
      </w:r>
      <w:r w:rsidR="003860FF">
        <w:t xml:space="preserve">desk-based, </w:t>
      </w:r>
      <w:r w:rsidR="004A56D1" w:rsidRPr="004A56D1">
        <w:t xml:space="preserve">laboratory and semi-field </w:t>
      </w:r>
      <w:r w:rsidR="003860FF">
        <w:t>activities</w:t>
      </w:r>
      <w:r w:rsidR="004A56D1" w:rsidRPr="004A56D1">
        <w:t xml:space="preserve">. This includes tests such as </w:t>
      </w:r>
      <w:r w:rsidR="0038491F">
        <w:t>in</w:t>
      </w:r>
      <w:r w:rsidR="0090577A">
        <w:t xml:space="preserve">secticide </w:t>
      </w:r>
      <w:r w:rsidR="00D6722F">
        <w:t xml:space="preserve">susceptibility </w:t>
      </w:r>
      <w:r w:rsidR="004A56D1" w:rsidRPr="004A56D1">
        <w:t>bioassays, tunnel tests,</w:t>
      </w:r>
      <w:r w:rsidR="00D6722F">
        <w:t xml:space="preserve"> and</w:t>
      </w:r>
      <w:r w:rsidR="004A56D1" w:rsidRPr="004A56D1">
        <w:t xml:space="preserve"> experimental hut trials, and work with insecticide-treated nets and surface treatments.</w:t>
      </w:r>
    </w:p>
    <w:p w14:paraId="226BA133" w14:textId="77777777" w:rsidR="004A56D1" w:rsidRPr="004A56D1" w:rsidRDefault="004A56D1" w:rsidP="004A56D1">
      <w:r w:rsidRPr="004A56D1">
        <w:t>IVCC wants partnerships that are fair, long-term, and collaborative. The aim is not only to provide testing services, but also to strengthen local leadership, ownership, and technical capacity.</w:t>
      </w:r>
    </w:p>
    <w:p w14:paraId="09DA5792" w14:textId="77777777" w:rsidR="00452775" w:rsidRDefault="004A56D1" w:rsidP="004A56D1">
      <w:r w:rsidRPr="004A56D1">
        <w:t>Selected partners will work with IVCC on agreed annual workplans, budgets, data sharing, and reporting. The partnership will also include regular technical and governance meetings.</w:t>
      </w:r>
    </w:p>
    <w:p w14:paraId="1613DD40" w14:textId="087DD022" w:rsidR="004A56D1" w:rsidRDefault="00452775" w:rsidP="004A56D1">
      <w:r w:rsidRPr="00452775">
        <w:lastRenderedPageBreak/>
        <w:t>Applicants must</w:t>
      </w:r>
      <w:r w:rsidR="00F803F8">
        <w:t xml:space="preserve"> </w:t>
      </w:r>
      <w:r w:rsidRPr="00452775">
        <w:t>have experience in vector control testing and quality systems. They should also show good due diligence and organisational responsibility, or a clear plan to improve these areas. Applications must be written in English and include a detailed budget in US dollars</w:t>
      </w:r>
      <w:r w:rsidR="00F803F8">
        <w:t>, submitted</w:t>
      </w:r>
      <w:r w:rsidRPr="00452775">
        <w:t xml:space="preserve"> by 29</w:t>
      </w:r>
      <w:r w:rsidR="00F803F8" w:rsidRPr="00F803F8">
        <w:rPr>
          <w:vertAlign w:val="superscript"/>
        </w:rPr>
        <w:t>th</w:t>
      </w:r>
      <w:r w:rsidRPr="00452775">
        <w:t xml:space="preserve"> June 2026.</w:t>
      </w:r>
    </w:p>
    <w:p w14:paraId="1F30CA20" w14:textId="77777777" w:rsidR="00315E6B" w:rsidRDefault="00315E6B" w:rsidP="004A56D1"/>
    <w:p w14:paraId="3FF99514" w14:textId="77777777" w:rsidR="00315E6B" w:rsidRDefault="00315E6B" w:rsidP="00315E6B">
      <w:pPr>
        <w:pStyle w:val="Heading1"/>
        <w:rPr>
          <w:lang w:val="fr-FR"/>
        </w:rPr>
      </w:pPr>
      <w:bookmarkStart w:id="1" w:name="_Toc229579923"/>
      <w:r w:rsidRPr="00315E6B">
        <w:rPr>
          <w:lang w:val="fr-FR"/>
        </w:rPr>
        <w:t>Résumé exécutif : Recherche en conditions opérationnelles</w:t>
      </w:r>
      <w:bookmarkEnd w:id="1"/>
    </w:p>
    <w:p w14:paraId="3CCBAFF9" w14:textId="77777777" w:rsidR="00315E6B" w:rsidRPr="00315E6B" w:rsidRDefault="00315E6B" w:rsidP="00315E6B">
      <w:pPr>
        <w:rPr>
          <w:lang w:val="fr-FR"/>
        </w:rPr>
      </w:pPr>
    </w:p>
    <w:p w14:paraId="64D9044B" w14:textId="77777777" w:rsidR="00315E6B" w:rsidRPr="00315E6B" w:rsidRDefault="00315E6B" w:rsidP="00315E6B">
      <w:pPr>
        <w:rPr>
          <w:lang w:val="fr-FR"/>
        </w:rPr>
      </w:pPr>
      <w:r w:rsidRPr="00315E6B">
        <w:rPr>
          <w:lang w:val="fr-FR"/>
        </w:rPr>
        <w:t>IVCC recherche deux structures partenaires basées en Afrique subsaharienne pour appuyer la recherche sur les produits de lutte antivectorielle contre le paludisme. L’un des partenaires sera basé en Afrique centrale ou de l’Ouest, et l’autre en Afrique australe ou de l’Est.</w:t>
      </w:r>
    </w:p>
    <w:p w14:paraId="74869DE4" w14:textId="77777777" w:rsidR="00315E6B" w:rsidRPr="00315E6B" w:rsidRDefault="00315E6B" w:rsidP="00315E6B">
      <w:pPr>
        <w:rPr>
          <w:lang w:val="fr-FR"/>
        </w:rPr>
      </w:pPr>
      <w:r w:rsidRPr="00315E6B">
        <w:rPr>
          <w:lang w:val="fr-FR"/>
        </w:rPr>
        <w:t>Les structures partenaires doivent être reconnues comme des leaders d’opinion dans le domaine de la lutte antivectorielle, avec un solide historique de recherche, de publications scientifiques et/ou de contributions à des documents de politique publique. L’accréditation BPL (GLP) n’est pas exigée, mais les partenaires doivent démontrer l’existence de systèmes alignés sur les Bonnes Pratiques de Laboratoire (par exemple : procédures opérationnelles standards, dossiers de formation du personnel, systèmes de gestion des données et assurance qualité interne).</w:t>
      </w:r>
    </w:p>
    <w:p w14:paraId="6B641C33" w14:textId="77777777" w:rsidR="00315E6B" w:rsidRPr="00315E6B" w:rsidRDefault="00315E6B" w:rsidP="00315E6B">
      <w:pPr>
        <w:rPr>
          <w:lang w:val="fr-FR"/>
        </w:rPr>
      </w:pPr>
      <w:r w:rsidRPr="00315E6B">
        <w:rPr>
          <w:lang w:val="fr-FR"/>
        </w:rPr>
        <w:t>Les partenaires doivent être en mesure de mener des revues documentaires, de laboratoire et en conditions semi</w:t>
      </w:r>
      <w:r w:rsidRPr="00315E6B">
        <w:rPr>
          <w:lang w:val="fr-FR"/>
        </w:rPr>
        <w:noBreakHyphen/>
        <w:t>opérationnelles. Cela inclus les tests de sensibilité aux insecticides (</w:t>
      </w:r>
      <w:proofErr w:type="spellStart"/>
      <w:r w:rsidRPr="00315E6B">
        <w:rPr>
          <w:lang w:val="fr-FR"/>
        </w:rPr>
        <w:t>bioessais</w:t>
      </w:r>
      <w:proofErr w:type="spellEnd"/>
      <w:r w:rsidRPr="00315E6B">
        <w:rPr>
          <w:lang w:val="fr-FR"/>
        </w:rPr>
        <w:t>), les tests en tunnel et les tests en cases expérimentales, ainsi que des travaux sur les moustiquaires imprégnées d’insecticide et des aspersions de surface.</w:t>
      </w:r>
    </w:p>
    <w:p w14:paraId="7A9AD1C7" w14:textId="77777777" w:rsidR="00315E6B" w:rsidRPr="00315E6B" w:rsidRDefault="00315E6B" w:rsidP="00315E6B">
      <w:pPr>
        <w:rPr>
          <w:lang w:val="fr-FR"/>
        </w:rPr>
      </w:pPr>
      <w:r w:rsidRPr="00315E6B">
        <w:rPr>
          <w:lang w:val="fr-FR"/>
        </w:rPr>
        <w:t>IVCC souhaite établir des partenariats équitables, durables et collaboratifs. L’objectif n’est pas seulement de fournir des services de recherche ou d’évaluations, mais aussi de renforcer le leadership local, l’appropriation des activités et les capacités techniques.</w:t>
      </w:r>
    </w:p>
    <w:p w14:paraId="206EA5DF" w14:textId="77777777" w:rsidR="00315E6B" w:rsidRPr="00315E6B" w:rsidRDefault="00315E6B" w:rsidP="00315E6B">
      <w:pPr>
        <w:rPr>
          <w:lang w:val="fr-FR"/>
        </w:rPr>
      </w:pPr>
      <w:r w:rsidRPr="00315E6B">
        <w:rPr>
          <w:lang w:val="fr-FR"/>
        </w:rPr>
        <w:t xml:space="preserve">Les partenaires sélectionnés travailleront avec IVCC sur la base de plans de travail annuels convenus, incluant les budgets, le partage des données et les rapports. Le partenariat comprendra également des réunions techniques et de </w:t>
      </w:r>
      <w:proofErr w:type="gramStart"/>
      <w:r w:rsidRPr="00315E6B">
        <w:rPr>
          <w:lang w:val="fr-FR"/>
        </w:rPr>
        <w:t>gouvernance régulières</w:t>
      </w:r>
      <w:proofErr w:type="gramEnd"/>
      <w:r w:rsidRPr="00315E6B">
        <w:rPr>
          <w:lang w:val="fr-FR"/>
        </w:rPr>
        <w:t>.</w:t>
      </w:r>
    </w:p>
    <w:p w14:paraId="10827FA7" w14:textId="3EFD3350" w:rsidR="515F90E4" w:rsidRPr="00FB7A14" w:rsidRDefault="00BF675A">
      <w:pPr>
        <w:rPr>
          <w:lang w:val="fr-FR"/>
        </w:rPr>
      </w:pPr>
      <w:r>
        <w:rPr>
          <w:lang w:val="fr-FR"/>
        </w:rPr>
        <w:br w:type="page"/>
      </w:r>
    </w:p>
    <w:p w14:paraId="21B663E1" w14:textId="6438A7D6" w:rsidR="000410F8" w:rsidRDefault="6EDCC6B2" w:rsidP="00FB2CD6">
      <w:pPr>
        <w:pStyle w:val="Heading1"/>
        <w:numPr>
          <w:ilvl w:val="0"/>
          <w:numId w:val="1"/>
        </w:numPr>
        <w:ind w:left="357" w:hanging="357"/>
      </w:pPr>
      <w:bookmarkStart w:id="2" w:name="_Toc229579924"/>
      <w:r>
        <w:t>Introductio</w:t>
      </w:r>
      <w:r w:rsidR="35D63AD2">
        <w:t>n</w:t>
      </w:r>
      <w:bookmarkEnd w:id="2"/>
    </w:p>
    <w:p w14:paraId="736143DB" w14:textId="77777777" w:rsidR="000410F8" w:rsidRDefault="000410F8" w:rsidP="000410F8"/>
    <w:p w14:paraId="0715ED8E" w14:textId="21CF314F" w:rsidR="00776E17" w:rsidRDefault="003B014B" w:rsidP="000410F8">
      <w:r>
        <w:lastRenderedPageBreak/>
        <w:t>IVCC works with public, private, and academic partners to develop and optimise new and improved vector control tools for malaria.</w:t>
      </w:r>
      <w:r w:rsidR="00FB2CD6">
        <w:t xml:space="preserve"> </w:t>
      </w:r>
      <w:r>
        <w:t>To generate robust evidence for product development and regulatory decision</w:t>
      </w:r>
      <w:r w:rsidRPr="000410F8">
        <w:rPr>
          <w:rFonts w:ascii="Cambria Math" w:hAnsi="Cambria Math" w:cs="Cambria Math"/>
        </w:rPr>
        <w:t>‑</w:t>
      </w:r>
      <w:r>
        <w:t>making, IVCC relies on high</w:t>
      </w:r>
      <w:r w:rsidRPr="000410F8">
        <w:rPr>
          <w:rFonts w:ascii="Cambria Math" w:hAnsi="Cambria Math" w:cs="Cambria Math"/>
        </w:rPr>
        <w:t>‑</w:t>
      </w:r>
      <w:r>
        <w:t>quality</w:t>
      </w:r>
      <w:r w:rsidR="00D14177">
        <w:t xml:space="preserve"> desk-based research, </w:t>
      </w:r>
      <w:r>
        <w:t>laboratory and semi</w:t>
      </w:r>
      <w:r w:rsidRPr="000410F8">
        <w:rPr>
          <w:rFonts w:ascii="Cambria Math" w:hAnsi="Cambria Math" w:cs="Cambria Math"/>
        </w:rPr>
        <w:t>‑</w:t>
      </w:r>
      <w:r>
        <w:t>field testing conducted in Sub</w:t>
      </w:r>
      <w:r w:rsidRPr="000410F8">
        <w:rPr>
          <w:rFonts w:ascii="Cambria Math" w:hAnsi="Cambria Math" w:cs="Cambria Math"/>
        </w:rPr>
        <w:t>‑</w:t>
      </w:r>
      <w:r>
        <w:t xml:space="preserve">Saharan Africa. </w:t>
      </w:r>
    </w:p>
    <w:p w14:paraId="2E2B8331" w14:textId="26463695" w:rsidR="000410F8" w:rsidRDefault="00181E55" w:rsidP="00DB7092">
      <w:r>
        <w:t xml:space="preserve">Subsequently, </w:t>
      </w:r>
      <w:r w:rsidRPr="00A130DE">
        <w:t xml:space="preserve">IVCC is </w:t>
      </w:r>
      <w:r>
        <w:t>launching a call for partners, for</w:t>
      </w:r>
      <w:r w:rsidRPr="00A130DE">
        <w:t xml:space="preserve"> vector control facilities in Sub</w:t>
      </w:r>
      <w:r w:rsidRPr="00FB2CD6">
        <w:rPr>
          <w:rFonts w:ascii="Cambria Math" w:hAnsi="Cambria Math" w:cs="Cambria Math"/>
        </w:rPr>
        <w:t>‑</w:t>
      </w:r>
      <w:r w:rsidRPr="00A130DE">
        <w:t>Saharan Africa</w:t>
      </w:r>
      <w:r>
        <w:t>,</w:t>
      </w:r>
      <w:r w:rsidRPr="00A130DE">
        <w:t xml:space="preserve"> to </w:t>
      </w:r>
      <w:r>
        <w:t xml:space="preserve">establish </w:t>
      </w:r>
      <w:r w:rsidRPr="00F173B8">
        <w:t>two equitable, long</w:t>
      </w:r>
      <w:r w:rsidRPr="00FB2CD6">
        <w:rPr>
          <w:rFonts w:ascii="Cambria Math" w:hAnsi="Cambria Math" w:cs="Cambria Math"/>
        </w:rPr>
        <w:t>‑</w:t>
      </w:r>
      <w:r w:rsidRPr="00F173B8">
        <w:t xml:space="preserve">term partnerships (one in </w:t>
      </w:r>
      <w:r w:rsidR="001F0FA6">
        <w:t xml:space="preserve">Central </w:t>
      </w:r>
      <w:r w:rsidR="00D06A2A">
        <w:t>or</w:t>
      </w:r>
      <w:r w:rsidR="002252E8">
        <w:t xml:space="preserve"> </w:t>
      </w:r>
      <w:r w:rsidRPr="00F173B8">
        <w:t>West Africa</w:t>
      </w:r>
      <w:r w:rsidR="00DC3FF3">
        <w:t>,</w:t>
      </w:r>
      <w:r w:rsidRPr="00F173B8">
        <w:t xml:space="preserve"> and one in </w:t>
      </w:r>
      <w:r w:rsidR="005F043B">
        <w:t xml:space="preserve">South or </w:t>
      </w:r>
      <w:r w:rsidRPr="00F173B8">
        <w:t>East Africa)</w:t>
      </w:r>
      <w:r>
        <w:t xml:space="preserve"> </w:t>
      </w:r>
      <w:r w:rsidRPr="00F173B8">
        <w:t xml:space="preserve">that can </w:t>
      </w:r>
      <w:r w:rsidR="005F043B">
        <w:t>conduct</w:t>
      </w:r>
      <w:r w:rsidR="005F043B" w:rsidRPr="00F173B8">
        <w:t xml:space="preserve"> </w:t>
      </w:r>
      <w:r w:rsidR="005F043B">
        <w:t xml:space="preserve">desk-based, </w:t>
      </w:r>
      <w:r w:rsidRPr="00F173B8">
        <w:t>laboratory and semi</w:t>
      </w:r>
      <w:r w:rsidRPr="00FB2CD6">
        <w:rPr>
          <w:rFonts w:ascii="Cambria Math" w:hAnsi="Cambria Math" w:cs="Cambria Math"/>
        </w:rPr>
        <w:t>‑</w:t>
      </w:r>
      <w:r w:rsidRPr="00F173B8">
        <w:t xml:space="preserve">field </w:t>
      </w:r>
      <w:r w:rsidR="00CC5C31">
        <w:t>research</w:t>
      </w:r>
      <w:r w:rsidRPr="00F173B8">
        <w:t xml:space="preserve">, while jointly strengthening local leadership, ownership, and capacity in </w:t>
      </w:r>
      <w:r>
        <w:t xml:space="preserve">vector control </w:t>
      </w:r>
      <w:r w:rsidR="00682156">
        <w:t>research</w:t>
      </w:r>
      <w:r>
        <w:t>.</w:t>
      </w:r>
    </w:p>
    <w:p w14:paraId="00A76D34" w14:textId="77777777" w:rsidR="00B5611B" w:rsidRPr="00DB7092" w:rsidRDefault="00B5611B" w:rsidP="00DB7092"/>
    <w:p w14:paraId="2385C3F2" w14:textId="77777777" w:rsidR="006C3106" w:rsidRDefault="00D05A0A" w:rsidP="006C3106">
      <w:pPr>
        <w:pStyle w:val="Heading1"/>
        <w:numPr>
          <w:ilvl w:val="0"/>
          <w:numId w:val="1"/>
        </w:numPr>
      </w:pPr>
      <w:bookmarkStart w:id="3" w:name="_Toc229579925"/>
      <w:r>
        <w:t>Nature and scope of partnership</w:t>
      </w:r>
      <w:bookmarkEnd w:id="3"/>
    </w:p>
    <w:p w14:paraId="49283163" w14:textId="77777777" w:rsidR="006C3106" w:rsidRPr="006C3106" w:rsidRDefault="006C3106" w:rsidP="006C3106"/>
    <w:p w14:paraId="29CA7097" w14:textId="54640A0F" w:rsidR="000410F8" w:rsidRPr="006C3106" w:rsidRDefault="00421FAF" w:rsidP="00421FAF">
      <w:pPr>
        <w:pStyle w:val="Heading2"/>
        <w:numPr>
          <w:ilvl w:val="1"/>
          <w:numId w:val="1"/>
        </w:numPr>
      </w:pPr>
      <w:r>
        <w:t xml:space="preserve"> </w:t>
      </w:r>
      <w:r w:rsidR="00C61AD7" w:rsidRPr="006C3106">
        <w:t xml:space="preserve">Partnership principles </w:t>
      </w:r>
    </w:p>
    <w:p w14:paraId="5743E855" w14:textId="77777777" w:rsidR="000410F8" w:rsidRPr="000410F8" w:rsidRDefault="000410F8" w:rsidP="000410F8">
      <w:pPr>
        <w:rPr>
          <w:b/>
          <w:bCs/>
        </w:rPr>
      </w:pPr>
    </w:p>
    <w:p w14:paraId="545F8705" w14:textId="3157D821" w:rsidR="00CA2384" w:rsidRPr="000410F8" w:rsidRDefault="00CA2384" w:rsidP="000410F8">
      <w:pPr>
        <w:rPr>
          <w:b/>
          <w:bCs/>
        </w:rPr>
      </w:pPr>
      <w:r>
        <w:t>The intent is to establish an equitable partnership that supports high</w:t>
      </w:r>
      <w:r w:rsidRPr="000410F8">
        <w:rPr>
          <w:rFonts w:ascii="Cambria Math" w:hAnsi="Cambria Math" w:cs="Cambria Math"/>
        </w:rPr>
        <w:t>‑</w:t>
      </w:r>
      <w:r>
        <w:t xml:space="preserve">quality vector control </w:t>
      </w:r>
      <w:r w:rsidR="00682156">
        <w:t>research</w:t>
      </w:r>
      <w:r>
        <w:t xml:space="preserve"> while strengthening local institutional capacity and leadership</w:t>
      </w:r>
      <w:r w:rsidR="002458B8">
        <w:t>, key features include:</w:t>
      </w:r>
    </w:p>
    <w:p w14:paraId="1F61CCE2" w14:textId="72B187B8" w:rsidR="00A041D2" w:rsidRDefault="00CA2384" w:rsidP="00F076E6">
      <w:pPr>
        <w:pStyle w:val="ListParagraph"/>
        <w:numPr>
          <w:ilvl w:val="0"/>
          <w:numId w:val="7"/>
        </w:numPr>
      </w:pPr>
      <w:r>
        <w:t xml:space="preserve">Equitable partnership: IVCC seeks to avoid </w:t>
      </w:r>
      <w:r w:rsidR="00B25141" w:rsidRPr="00B25141">
        <w:t>the risk of fostering relianc</w:t>
      </w:r>
      <w:r w:rsidR="00B25141">
        <w:t xml:space="preserve">e </w:t>
      </w:r>
      <w:r>
        <w:t>and instead support local ownership, leadership, and capacity across research, policy, and practice, from discovery through to access. This includes moving from “partnership in name” to “partnership in practice”, with African institutions in leading roles rather than acting solely as implementers.</w:t>
      </w:r>
    </w:p>
    <w:p w14:paraId="6CDBBFAB" w14:textId="77777777" w:rsidR="00D96ED2" w:rsidRDefault="00CA2384" w:rsidP="00CA2384">
      <w:pPr>
        <w:pStyle w:val="ListParagraph"/>
        <w:numPr>
          <w:ilvl w:val="0"/>
          <w:numId w:val="7"/>
        </w:numPr>
      </w:pPr>
      <w:r>
        <w:t>Core</w:t>
      </w:r>
      <w:r w:rsidRPr="00A041D2">
        <w:rPr>
          <w:rFonts w:ascii="Cambria Math" w:hAnsi="Cambria Math" w:cs="Cambria Math"/>
        </w:rPr>
        <w:t>‑</w:t>
      </w:r>
      <w:r>
        <w:t>funded: The work at the facility should be led by core</w:t>
      </w:r>
      <w:r w:rsidRPr="00A041D2">
        <w:rPr>
          <w:rFonts w:ascii="Cambria Math" w:hAnsi="Cambria Math" w:cs="Cambria Math"/>
        </w:rPr>
        <w:t>‑</w:t>
      </w:r>
      <w:r>
        <w:t>funded staff (technical and project management), to ensure continuity, institutional commitment, and resilience beyond individual projects.</w:t>
      </w:r>
    </w:p>
    <w:p w14:paraId="227CA16E" w14:textId="36FFF299" w:rsidR="00D96ED2" w:rsidRDefault="00CA2384" w:rsidP="00CA2384">
      <w:pPr>
        <w:pStyle w:val="ListParagraph"/>
        <w:numPr>
          <w:ilvl w:val="0"/>
          <w:numId w:val="7"/>
        </w:numPr>
      </w:pPr>
      <w:r>
        <w:t xml:space="preserve">Joint governance: IVCC and the partner will hold regular technical and governance meetings to plan </w:t>
      </w:r>
      <w:r w:rsidR="00CC5C31">
        <w:t>research</w:t>
      </w:r>
      <w:r>
        <w:t>, monitor progress, review capacity needs, and adjust the annual workplan as required.</w:t>
      </w:r>
    </w:p>
    <w:p w14:paraId="07ED2C84" w14:textId="375000A0" w:rsidR="001B2C8C" w:rsidRDefault="00CA2384" w:rsidP="001B2C8C">
      <w:pPr>
        <w:pStyle w:val="ListParagraph"/>
        <w:numPr>
          <w:ilvl w:val="0"/>
          <w:numId w:val="7"/>
        </w:numPr>
      </w:pPr>
      <w:r>
        <w:t>Mutual capacity strengthening: Capacity</w:t>
      </w:r>
      <w:r w:rsidRPr="00D96ED2">
        <w:rPr>
          <w:rFonts w:ascii="Cambria Math" w:hAnsi="Cambria Math" w:cs="Cambria Math"/>
        </w:rPr>
        <w:t>‑</w:t>
      </w:r>
      <w:r>
        <w:t>strengthening activities should respond to the partner</w:t>
      </w:r>
      <w:r w:rsidRPr="00D96ED2">
        <w:rPr>
          <w:rFonts w:cs="Verdana"/>
        </w:rPr>
        <w:t>’</w:t>
      </w:r>
      <w:r>
        <w:t>s needs while also aligning with IVCC portfolio needs</w:t>
      </w:r>
      <w:r w:rsidR="00D96ED2">
        <w:t>.</w:t>
      </w:r>
    </w:p>
    <w:p w14:paraId="40FEB197" w14:textId="71D8AF1A" w:rsidR="001947D8" w:rsidRDefault="001947D8" w:rsidP="001947D8">
      <w:pPr>
        <w:pStyle w:val="ListParagraph"/>
        <w:numPr>
          <w:ilvl w:val="0"/>
          <w:numId w:val="7"/>
        </w:numPr>
      </w:pPr>
      <w:r>
        <w:t>Any c</w:t>
      </w:r>
      <w:r w:rsidRPr="003303C2">
        <w:t xml:space="preserve">ontract arising from </w:t>
      </w:r>
      <w:r>
        <w:t>this call</w:t>
      </w:r>
      <w:r w:rsidRPr="003303C2">
        <w:t xml:space="preserve"> shall be subject to a formal agreement that shall incorporate the terms and conditions contained within this </w:t>
      </w:r>
      <w:r>
        <w:t>call document</w:t>
      </w:r>
      <w:r w:rsidR="008D1854">
        <w:t>.</w:t>
      </w:r>
    </w:p>
    <w:p w14:paraId="058AD870" w14:textId="3B704BCA" w:rsidR="00D4016C" w:rsidRDefault="00D4016C" w:rsidP="001947D8">
      <w:pPr>
        <w:pStyle w:val="ListParagraph"/>
        <w:numPr>
          <w:ilvl w:val="0"/>
          <w:numId w:val="7"/>
        </w:numPr>
      </w:pPr>
      <w:r>
        <w:t xml:space="preserve">An example </w:t>
      </w:r>
      <w:r w:rsidR="00143BFB">
        <w:t xml:space="preserve">template of the agreement </w:t>
      </w:r>
      <w:r w:rsidR="248FE575">
        <w:t>will be made available prior to the close of this call</w:t>
      </w:r>
      <w:r w:rsidR="00D67952">
        <w:t>.</w:t>
      </w:r>
    </w:p>
    <w:p w14:paraId="6AB1F38D" w14:textId="77777777" w:rsidR="001B2C8C" w:rsidRDefault="001B2C8C" w:rsidP="001B2C8C"/>
    <w:p w14:paraId="42DA8287" w14:textId="77777777" w:rsidR="00EE35B6" w:rsidRDefault="001B2C8C" w:rsidP="00D17594">
      <w:pPr>
        <w:pStyle w:val="Heading2"/>
        <w:numPr>
          <w:ilvl w:val="1"/>
          <w:numId w:val="1"/>
        </w:numPr>
      </w:pPr>
      <w:r w:rsidRPr="001B2C8C">
        <w:lastRenderedPageBreak/>
        <w:t>Partnership structure and governance</w:t>
      </w:r>
    </w:p>
    <w:p w14:paraId="31516E81" w14:textId="77777777" w:rsidR="00EE35B6" w:rsidRPr="00EE35B6" w:rsidRDefault="00EE35B6" w:rsidP="00EE35B6">
      <w:pPr>
        <w:rPr>
          <w:b/>
          <w:bCs/>
        </w:rPr>
      </w:pPr>
    </w:p>
    <w:p w14:paraId="6CE59F64" w14:textId="3A1B42B2" w:rsidR="001B2C8C" w:rsidRPr="00EE35B6" w:rsidRDefault="001B2C8C" w:rsidP="00EE35B6">
      <w:pPr>
        <w:rPr>
          <w:b/>
          <w:bCs/>
        </w:rPr>
      </w:pPr>
      <w:r>
        <w:t>While details will be agreed with the selected partner, IVCC anticipates:</w:t>
      </w:r>
    </w:p>
    <w:p w14:paraId="14F468DC" w14:textId="1F949CC2" w:rsidR="005B533A" w:rsidRDefault="001B2C8C" w:rsidP="001B2C8C">
      <w:pPr>
        <w:pStyle w:val="ListParagraph"/>
        <w:numPr>
          <w:ilvl w:val="0"/>
          <w:numId w:val="20"/>
        </w:numPr>
      </w:pPr>
      <w:r>
        <w:t>A multi</w:t>
      </w:r>
      <w:r w:rsidRPr="00E40B83">
        <w:rPr>
          <w:rFonts w:ascii="Cambria Math" w:hAnsi="Cambria Math" w:cs="Cambria Math"/>
        </w:rPr>
        <w:t>‑</w:t>
      </w:r>
      <w:r>
        <w:t xml:space="preserve">year </w:t>
      </w:r>
      <w:r w:rsidR="00761461">
        <w:t xml:space="preserve">(minimum 3 years) </w:t>
      </w:r>
      <w:r>
        <w:t>agreement, under which annual workplans and budgets are developed jointly and approved through agreed governance structures.</w:t>
      </w:r>
    </w:p>
    <w:p w14:paraId="506A0808" w14:textId="77777777" w:rsidR="005B533A" w:rsidRDefault="001B2C8C" w:rsidP="001B2C8C">
      <w:pPr>
        <w:pStyle w:val="ListParagraph"/>
        <w:numPr>
          <w:ilvl w:val="0"/>
          <w:numId w:val="20"/>
        </w:numPr>
      </w:pPr>
      <w:r>
        <w:t>Regular (e.g. monthly) technical and (e.g. quarterly) governance meetings to review progress, manage risks, and agree any changes in scope or priorities.</w:t>
      </w:r>
    </w:p>
    <w:p w14:paraId="42B337AD" w14:textId="039B2C16" w:rsidR="00876526" w:rsidRDefault="001B2C8C" w:rsidP="00C61AD7">
      <w:pPr>
        <w:pStyle w:val="ListParagraph"/>
        <w:numPr>
          <w:ilvl w:val="0"/>
          <w:numId w:val="20"/>
        </w:numPr>
      </w:pPr>
      <w:r>
        <w:t>Clear arrangements for data ownership, confidentiality, and sharing, reflecting both IVCC’s responsibilities to product developers and the partner’s institutional interests.</w:t>
      </w:r>
    </w:p>
    <w:p w14:paraId="051F2B2E" w14:textId="77777777" w:rsidR="00612190" w:rsidRDefault="00612190" w:rsidP="00C61AD7"/>
    <w:p w14:paraId="1FDC9CA5" w14:textId="08BFBCC3" w:rsidR="0064230E" w:rsidRDefault="00584623" w:rsidP="00C61AD7">
      <w:pPr>
        <w:pStyle w:val="Heading1"/>
        <w:numPr>
          <w:ilvl w:val="0"/>
          <w:numId w:val="1"/>
        </w:numPr>
      </w:pPr>
      <w:bookmarkStart w:id="4" w:name="_Toc229579926"/>
      <w:r>
        <w:t>Type of</w:t>
      </w:r>
      <w:r w:rsidR="00087753">
        <w:t xml:space="preserve"> </w:t>
      </w:r>
      <w:r w:rsidR="0064230E">
        <w:t>partner</w:t>
      </w:r>
      <w:r>
        <w:t xml:space="preserve"> organisation and eligibility</w:t>
      </w:r>
      <w:bookmarkEnd w:id="4"/>
    </w:p>
    <w:p w14:paraId="481F4E52" w14:textId="64EF244F" w:rsidR="0064230E" w:rsidRPr="00D05A0A" w:rsidRDefault="0064230E" w:rsidP="0064230E">
      <w:pPr>
        <w:rPr>
          <w:b/>
          <w:bCs/>
        </w:rPr>
      </w:pPr>
    </w:p>
    <w:p w14:paraId="653D0358" w14:textId="548075D0" w:rsidR="008904E9" w:rsidRDefault="008904E9" w:rsidP="008904E9">
      <w:pPr>
        <w:pStyle w:val="ListParagraph"/>
        <w:numPr>
          <w:ilvl w:val="0"/>
          <w:numId w:val="6"/>
        </w:numPr>
      </w:pPr>
      <w:r>
        <w:t xml:space="preserve">Facilities should be recognised thought leaders in vector control, based in Sub-Saharan Africa, with a strong track record of research, publications, and/or contributions to policy documents. </w:t>
      </w:r>
    </w:p>
    <w:p w14:paraId="453E31B1" w14:textId="434911CF" w:rsidR="008904E9" w:rsidRDefault="008904E9" w:rsidP="008904E9">
      <w:pPr>
        <w:pStyle w:val="ListParagraph"/>
        <w:numPr>
          <w:ilvl w:val="0"/>
          <w:numId w:val="6"/>
        </w:numPr>
      </w:pPr>
      <w:r>
        <w:t>GLP accreditation is not required, but partners must demonstrate systems aligned with Good Laboratory Practice (e.g. SOPs, staff training records, data management systems, and internal quality assurance).</w:t>
      </w:r>
    </w:p>
    <w:p w14:paraId="740C744E" w14:textId="3D749474" w:rsidR="0064230E" w:rsidRDefault="00D7167D" w:rsidP="00D7167D">
      <w:pPr>
        <w:pStyle w:val="ListParagraph"/>
        <w:numPr>
          <w:ilvl w:val="0"/>
          <w:numId w:val="6"/>
        </w:numPr>
      </w:pPr>
      <w:r w:rsidRPr="00D7167D">
        <w:t>The partner should be capable of conducting desk-based literature reviews and evidence synthesis, as well as implementing vector control laboratory and semi-field studies. This includes performing insecticide susceptibility bioassays, tunnel tests, and experimental hut trials</w:t>
      </w:r>
    </w:p>
    <w:p w14:paraId="78038B1E" w14:textId="628949C4" w:rsidR="0064230E" w:rsidRDefault="0064230E" w:rsidP="0064230E">
      <w:pPr>
        <w:pStyle w:val="ListParagraph"/>
        <w:numPr>
          <w:ilvl w:val="0"/>
          <w:numId w:val="6"/>
        </w:numPr>
      </w:pPr>
      <w:r>
        <w:t>Applications may be submitted by a single facility and/or a joint application from a consortium of multiple facilities. Applications submitted by a consortium of facilities should describe the added value of their collaboration. Factors that IVCC would consider as added value:</w:t>
      </w:r>
    </w:p>
    <w:p w14:paraId="3AFD0538" w14:textId="77777777" w:rsidR="0064230E" w:rsidRDefault="0064230E" w:rsidP="0064230E">
      <w:pPr>
        <w:pStyle w:val="ListParagraph"/>
        <w:numPr>
          <w:ilvl w:val="1"/>
          <w:numId w:val="6"/>
        </w:numPr>
      </w:pPr>
      <w:r>
        <w:t>Access to different mosquito species and resistance profiles</w:t>
      </w:r>
    </w:p>
    <w:p w14:paraId="17BE10FC" w14:textId="77777777" w:rsidR="0064230E" w:rsidRDefault="0064230E" w:rsidP="0064230E">
      <w:pPr>
        <w:pStyle w:val="ListParagraph"/>
        <w:numPr>
          <w:ilvl w:val="1"/>
          <w:numId w:val="6"/>
        </w:numPr>
      </w:pPr>
      <w:r>
        <w:t>Geographic/climatic range</w:t>
      </w:r>
    </w:p>
    <w:p w14:paraId="719E4CA4" w14:textId="77777777" w:rsidR="0064230E" w:rsidRDefault="0064230E" w:rsidP="0064230E">
      <w:pPr>
        <w:pStyle w:val="ListParagraph"/>
        <w:numPr>
          <w:ilvl w:val="1"/>
          <w:numId w:val="6"/>
        </w:numPr>
      </w:pPr>
      <w:r>
        <w:t>Access to different experimental hut designs</w:t>
      </w:r>
    </w:p>
    <w:p w14:paraId="74950E6E" w14:textId="3CD83D0F" w:rsidR="00562DC7" w:rsidRDefault="00562DC7" w:rsidP="00562DC7">
      <w:pPr>
        <w:pStyle w:val="ListParagraph"/>
        <w:numPr>
          <w:ilvl w:val="0"/>
          <w:numId w:val="6"/>
        </w:numPr>
      </w:pPr>
      <w:r w:rsidRPr="00562DC7">
        <w:t>Applicants may also wish to include external experts to add specific expertise to your application. Please describe the added value these external consultants will bring to your application.</w:t>
      </w:r>
    </w:p>
    <w:p w14:paraId="3ED4BE4F" w14:textId="17A98EDE" w:rsidR="00E5064B" w:rsidRPr="00DE6831" w:rsidRDefault="00D5769A" w:rsidP="00DE6831">
      <w:pPr>
        <w:pStyle w:val="ListParagraph"/>
        <w:numPr>
          <w:ilvl w:val="0"/>
          <w:numId w:val="6"/>
        </w:numPr>
      </w:pPr>
      <w:r w:rsidRPr="00D5769A">
        <w:t>Organisational structure: There should be a test facility manager and managers for each team. The test facility manager and the study director(s) will be the main contacts for IVCC.</w:t>
      </w:r>
    </w:p>
    <w:p w14:paraId="03BAE4D2" w14:textId="77777777" w:rsidR="0064230E" w:rsidRPr="00961036" w:rsidRDefault="0064230E" w:rsidP="00C61AD7"/>
    <w:p w14:paraId="2ABEC40D" w14:textId="2C1D0B37" w:rsidR="00EE35B6" w:rsidRDefault="00232083" w:rsidP="004202AE">
      <w:pPr>
        <w:pStyle w:val="Heading1"/>
        <w:numPr>
          <w:ilvl w:val="0"/>
          <w:numId w:val="1"/>
        </w:numPr>
      </w:pPr>
      <w:bookmarkStart w:id="5" w:name="_Toc229579927"/>
      <w:r>
        <w:lastRenderedPageBreak/>
        <w:t>Specifications and s</w:t>
      </w:r>
      <w:r w:rsidR="00961036">
        <w:t>cope of work</w:t>
      </w:r>
      <w:bookmarkEnd w:id="5"/>
    </w:p>
    <w:p w14:paraId="58C1F6E8" w14:textId="77777777" w:rsidR="00EE35B6" w:rsidRPr="00EE35B6" w:rsidRDefault="00EE35B6" w:rsidP="00EE35B6"/>
    <w:p w14:paraId="548C770D" w14:textId="30AF1CA5" w:rsidR="004202AE" w:rsidRDefault="00612190" w:rsidP="00EE35B6">
      <w:r w:rsidRPr="00612190">
        <w:t xml:space="preserve">IVCC will fund agreed </w:t>
      </w:r>
      <w:r w:rsidR="004741D0">
        <w:t xml:space="preserve">work </w:t>
      </w:r>
      <w:r w:rsidRPr="00612190">
        <w:t>package</w:t>
      </w:r>
      <w:r w:rsidR="00892A95">
        <w:t>s</w:t>
      </w:r>
      <w:r w:rsidRPr="00612190">
        <w:t>,</w:t>
      </w:r>
      <w:r w:rsidR="004741D0">
        <w:t xml:space="preserve"> </w:t>
      </w:r>
      <w:r w:rsidR="007D2F91">
        <w:t>while maintaining a collaborative way of working</w:t>
      </w:r>
      <w:r w:rsidR="004741D0">
        <w:t>, with</w:t>
      </w:r>
      <w:r w:rsidR="007D2F91">
        <w:t xml:space="preserve"> shared planning</w:t>
      </w:r>
      <w:r w:rsidR="004741D0">
        <w:t xml:space="preserve"> and co-design, </w:t>
      </w:r>
      <w:r w:rsidR="00FF7C6C">
        <w:t>as</w:t>
      </w:r>
      <w:r w:rsidR="004741D0">
        <w:t xml:space="preserve"> appropriate.</w:t>
      </w:r>
    </w:p>
    <w:p w14:paraId="5A6BC613" w14:textId="77777777" w:rsidR="00D50A26" w:rsidRDefault="00D50A26" w:rsidP="004202AE"/>
    <w:p w14:paraId="1EC2AFD2" w14:textId="0D9FD99D" w:rsidR="00BC7036" w:rsidRDefault="00D17594" w:rsidP="00D17594">
      <w:pPr>
        <w:pStyle w:val="Heading2"/>
        <w:numPr>
          <w:ilvl w:val="1"/>
          <w:numId w:val="1"/>
        </w:numPr>
      </w:pPr>
      <w:r>
        <w:t xml:space="preserve"> </w:t>
      </w:r>
      <w:r w:rsidR="00612190" w:rsidRPr="004202AE">
        <w:t>General characteristics</w:t>
      </w:r>
    </w:p>
    <w:p w14:paraId="3E82C41D" w14:textId="77777777" w:rsidR="00EE35B6" w:rsidRPr="00EE35B6" w:rsidRDefault="00EE35B6" w:rsidP="00EE35B6">
      <w:pPr>
        <w:rPr>
          <w:b/>
          <w:bCs/>
        </w:rPr>
      </w:pPr>
    </w:p>
    <w:p w14:paraId="34E78A1C" w14:textId="03FF67E9" w:rsidR="00A30C07" w:rsidRPr="004202AE" w:rsidRDefault="00646890" w:rsidP="00BC7036">
      <w:pPr>
        <w:pStyle w:val="ListParagraph"/>
        <w:numPr>
          <w:ilvl w:val="0"/>
          <w:numId w:val="15"/>
        </w:numPr>
        <w:rPr>
          <w:b/>
          <w:bCs/>
        </w:rPr>
      </w:pPr>
      <w:r w:rsidRPr="00646890">
        <w:t>Exploratory: questions support product development of vector control tools</w:t>
      </w:r>
      <w:r w:rsidR="004502C4">
        <w:t xml:space="preserve"> generally</w:t>
      </w:r>
      <w:r w:rsidRPr="00646890">
        <w:t>, but results are cross-cutting and applicable to multiple projects or thematic areas across the IVCC portfolio</w:t>
      </w:r>
      <w:r w:rsidR="004B3987">
        <w:t>.</w:t>
      </w:r>
    </w:p>
    <w:p w14:paraId="7F9A7900" w14:textId="68717691" w:rsidR="004202AE" w:rsidRPr="00EC2396" w:rsidRDefault="00612190" w:rsidP="00EC2396">
      <w:pPr>
        <w:pStyle w:val="ListParagraph"/>
        <w:numPr>
          <w:ilvl w:val="0"/>
          <w:numId w:val="15"/>
        </w:numPr>
        <w:rPr>
          <w:b/>
          <w:bCs/>
        </w:rPr>
      </w:pPr>
      <w:r w:rsidRPr="00612190">
        <w:t xml:space="preserve">Timebound delivery: </w:t>
      </w:r>
      <w:r w:rsidR="00EC2396">
        <w:t>Work</w:t>
      </w:r>
      <w:r w:rsidRPr="00612190">
        <w:t xml:space="preserve"> will be delivered within agreed timelines to meet project</w:t>
      </w:r>
      <w:r w:rsidR="004202AE">
        <w:t xml:space="preserve"> </w:t>
      </w:r>
      <w:r w:rsidRPr="00612190">
        <w:t>requirements.</w:t>
      </w:r>
    </w:p>
    <w:p w14:paraId="2A37274B" w14:textId="3410A586" w:rsidR="001C2525" w:rsidRPr="004B3987" w:rsidRDefault="003C1AA2" w:rsidP="00A30C07">
      <w:pPr>
        <w:pStyle w:val="ListParagraph"/>
        <w:numPr>
          <w:ilvl w:val="0"/>
          <w:numId w:val="15"/>
        </w:numPr>
        <w:rPr>
          <w:b/>
          <w:bCs/>
        </w:rPr>
      </w:pPr>
      <w:r>
        <w:t>Externally</w:t>
      </w:r>
      <w:r w:rsidR="00385FFC">
        <w:t xml:space="preserve"> relevant: T</w:t>
      </w:r>
      <w:r w:rsidR="00385FFC" w:rsidRPr="00385FFC">
        <w:t xml:space="preserve">he outcomes </w:t>
      </w:r>
      <w:r>
        <w:t>of the work</w:t>
      </w:r>
      <w:r w:rsidR="001C2525">
        <w:t xml:space="preserve"> will</w:t>
      </w:r>
      <w:r w:rsidR="00385FFC" w:rsidRPr="00385FFC">
        <w:t xml:space="preserve"> be beneficial to the wider vector control community, with work that is suitable for publication. Partners are encouraged to lead on publications.</w:t>
      </w:r>
    </w:p>
    <w:p w14:paraId="08ADC79F" w14:textId="0869BE54" w:rsidR="004741D0" w:rsidRPr="004B3987" w:rsidRDefault="00612190" w:rsidP="004741D0">
      <w:pPr>
        <w:pStyle w:val="ListParagraph"/>
        <w:numPr>
          <w:ilvl w:val="0"/>
          <w:numId w:val="15"/>
        </w:numPr>
        <w:rPr>
          <w:b/>
          <w:bCs/>
        </w:rPr>
      </w:pPr>
      <w:r w:rsidRPr="00612190">
        <w:t>Prioritisation and capacity: The agreement will include expectations around prioritisation of work for IVCC, reflecting the need to maintain an agreed level of testing capacity each year.</w:t>
      </w:r>
      <w:r w:rsidR="00EF1EAA">
        <w:t xml:space="preserve"> </w:t>
      </w:r>
      <w:r w:rsidR="00EF1EAA" w:rsidRPr="00EF1EAA">
        <w:t>IVCC will require priority access for IVCC projects</w:t>
      </w:r>
      <w:r w:rsidR="00EF1EAA">
        <w:t>,</w:t>
      </w:r>
      <w:r w:rsidR="00EF1EAA" w:rsidRPr="00EF1EAA">
        <w:t xml:space="preserve"> and awareness of non-IVCC activities conducted at the facility</w:t>
      </w:r>
      <w:r w:rsidR="00172F6A">
        <w:t>.</w:t>
      </w:r>
    </w:p>
    <w:p w14:paraId="0FB8A90A" w14:textId="0B088BBC" w:rsidR="00A30C07" w:rsidRPr="00172F6A" w:rsidRDefault="00A30C07" w:rsidP="004741D0">
      <w:pPr>
        <w:pStyle w:val="ListParagraph"/>
        <w:numPr>
          <w:ilvl w:val="0"/>
          <w:numId w:val="15"/>
        </w:numPr>
        <w:rPr>
          <w:b/>
          <w:bCs/>
        </w:rPr>
      </w:pPr>
      <w:r>
        <w:t>An e</w:t>
      </w:r>
      <w:r w:rsidRPr="001C2525">
        <w:t>xample of </w:t>
      </w:r>
      <w:r>
        <w:t xml:space="preserve">a </w:t>
      </w:r>
      <w:r w:rsidRPr="001C2525">
        <w:t>previous </w:t>
      </w:r>
      <w:r>
        <w:t>Field Research type activity is a</w:t>
      </w:r>
      <w:r w:rsidRPr="001C2525">
        <w:t> Meta-analysis on the entomological effects of differentially treated ITNs in a multi-</w:t>
      </w:r>
      <w:r w:rsidR="00BC24F7">
        <w:t>facility</w:t>
      </w:r>
      <w:r w:rsidRPr="001C2525">
        <w:t xml:space="preserve"> experimental hut study in sub-Saharan Africa</w:t>
      </w:r>
      <w:r>
        <w:t xml:space="preserve">, available </w:t>
      </w:r>
      <w:hyperlink r:id="rId12" w:history="1">
        <w:r w:rsidRPr="002C4B5C">
          <w:rPr>
            <w:rStyle w:val="Hyperlink"/>
          </w:rPr>
          <w:t>here</w:t>
        </w:r>
      </w:hyperlink>
      <w:r>
        <w:t>.</w:t>
      </w:r>
    </w:p>
    <w:p w14:paraId="087AD1F7" w14:textId="77777777" w:rsidR="004202AE" w:rsidRPr="00172F6A" w:rsidRDefault="004202AE" w:rsidP="00172F6A">
      <w:pPr>
        <w:rPr>
          <w:b/>
          <w:bCs/>
        </w:rPr>
      </w:pPr>
    </w:p>
    <w:p w14:paraId="42727B52" w14:textId="0A3F0307" w:rsidR="004202AE" w:rsidRDefault="00612190" w:rsidP="00D17594">
      <w:pPr>
        <w:pStyle w:val="Heading2"/>
        <w:numPr>
          <w:ilvl w:val="1"/>
          <w:numId w:val="1"/>
        </w:numPr>
      </w:pPr>
      <w:r w:rsidRPr="004202AE">
        <w:t>Scope of work</w:t>
      </w:r>
    </w:p>
    <w:p w14:paraId="55F33CE0" w14:textId="77777777" w:rsidR="00F274E5" w:rsidRPr="00BC7036" w:rsidRDefault="00F274E5" w:rsidP="00BC7036">
      <w:pPr>
        <w:rPr>
          <w:b/>
          <w:bCs/>
        </w:rPr>
      </w:pPr>
    </w:p>
    <w:p w14:paraId="5B22733F" w14:textId="73DBEA94" w:rsidR="00F274E5" w:rsidRPr="00F274E5" w:rsidRDefault="00F274E5" w:rsidP="00AD58B5">
      <w:pPr>
        <w:ind w:firstLine="113"/>
      </w:pPr>
      <w:r w:rsidRPr="00612190">
        <w:t>The scope of work is expected to include</w:t>
      </w:r>
      <w:r>
        <w:t>:</w:t>
      </w:r>
    </w:p>
    <w:p w14:paraId="1FCE0439" w14:textId="39D9922E" w:rsidR="00F274E5" w:rsidRPr="00F274E5" w:rsidRDefault="00F274E5" w:rsidP="00F274E5">
      <w:pPr>
        <w:numPr>
          <w:ilvl w:val="0"/>
          <w:numId w:val="38"/>
        </w:numPr>
        <w:tabs>
          <w:tab w:val="num" w:pos="720"/>
        </w:tabs>
      </w:pPr>
      <w:r w:rsidRPr="00F274E5">
        <w:t xml:space="preserve">Desk-based work </w:t>
      </w:r>
      <w:r w:rsidR="005920E1">
        <w:t>to</w:t>
      </w:r>
      <w:r w:rsidRPr="00F274E5">
        <w:t xml:space="preserve"> synthesise and structure existing evidence into formats that support </w:t>
      </w:r>
      <w:r w:rsidR="007344C8">
        <w:t xml:space="preserve">answering key unanswered question in vector control, </w:t>
      </w:r>
      <w:r w:rsidRPr="00F274E5">
        <w:t xml:space="preserve">IVCC’s portfolio and </w:t>
      </w:r>
      <w:r w:rsidR="00A6423B">
        <w:t xml:space="preserve">IVCC’s </w:t>
      </w:r>
      <w:r w:rsidRPr="00F274E5">
        <w:t>Modelling Network.</w:t>
      </w:r>
    </w:p>
    <w:p w14:paraId="3D84CE0E" w14:textId="1D868383" w:rsidR="00F274E5" w:rsidRPr="00F274E5" w:rsidRDefault="00F274E5" w:rsidP="00F274E5">
      <w:pPr>
        <w:numPr>
          <w:ilvl w:val="0"/>
          <w:numId w:val="38"/>
        </w:numPr>
        <w:tabs>
          <w:tab w:val="num" w:pos="720"/>
        </w:tabs>
      </w:pPr>
      <w:r w:rsidRPr="00F274E5">
        <w:t>Laboratory and semi-field work will be co-developed between IVCC and the collaborative partner, with specific research questions, assays and study designs agreed jointly to support IVCC’s portfolio needs</w:t>
      </w:r>
      <w:r w:rsidR="00A6423B">
        <w:t>, and the broader vector control community</w:t>
      </w:r>
      <w:r w:rsidRPr="00F274E5">
        <w:t>. </w:t>
      </w:r>
    </w:p>
    <w:p w14:paraId="2AE1D6A3" w14:textId="77777777" w:rsidR="00F274E5" w:rsidRPr="00F274E5" w:rsidRDefault="00F274E5" w:rsidP="00AD58B5">
      <w:pPr>
        <w:tabs>
          <w:tab w:val="num" w:pos="720"/>
        </w:tabs>
        <w:ind w:left="360"/>
      </w:pPr>
      <w:r w:rsidRPr="00F274E5">
        <w:t xml:space="preserve">The agreement will set out an indicative number of desk-based, laboratory and semi-field studies, based on annual forecasting, with flexibility to adjust the </w:t>
      </w:r>
      <w:r w:rsidRPr="00F274E5">
        <w:lastRenderedPageBreak/>
        <w:t>scope and design of studies (and associated budgets) in response to evolving research questions and priorities. </w:t>
      </w:r>
    </w:p>
    <w:p w14:paraId="78374609" w14:textId="77777777" w:rsidR="004741D0" w:rsidRPr="00612190" w:rsidRDefault="004741D0" w:rsidP="00612190"/>
    <w:p w14:paraId="4F4CD66D" w14:textId="35843754" w:rsidR="002F42C7" w:rsidRDefault="00612190" w:rsidP="00D17594">
      <w:pPr>
        <w:pStyle w:val="Heading3"/>
        <w:numPr>
          <w:ilvl w:val="2"/>
          <w:numId w:val="1"/>
        </w:numPr>
      </w:pPr>
      <w:r w:rsidRPr="000B66CA">
        <w:t xml:space="preserve">Laboratory </w:t>
      </w:r>
      <w:r w:rsidR="00D154DF">
        <w:t>trials</w:t>
      </w:r>
    </w:p>
    <w:p w14:paraId="3DDBA6BE" w14:textId="77777777" w:rsidR="003A274D" w:rsidRPr="000B66CA" w:rsidRDefault="003A274D" w:rsidP="003A274D">
      <w:pPr>
        <w:pStyle w:val="ListParagraph"/>
        <w:ind w:left="505"/>
      </w:pPr>
    </w:p>
    <w:p w14:paraId="7A8CCF01" w14:textId="2A13CDCA" w:rsidR="003F3EAB" w:rsidRDefault="00612190" w:rsidP="003F3EAB">
      <w:r w:rsidRPr="00612190">
        <w:t>The partner should have</w:t>
      </w:r>
      <w:r w:rsidR="005E0310">
        <w:t>, or</w:t>
      </w:r>
      <w:r w:rsidR="00EA21E7">
        <w:t xml:space="preserve"> be able to access</w:t>
      </w:r>
      <w:r w:rsidR="005E0310">
        <w:t>,</w:t>
      </w:r>
      <w:r w:rsidRPr="00612190">
        <w:t xml:space="preserve"> </w:t>
      </w:r>
      <w:r w:rsidR="00EA21E7">
        <w:t xml:space="preserve">appropriate </w:t>
      </w:r>
      <w:r w:rsidRPr="00612190">
        <w:t xml:space="preserve">facilities and systems to conduct </w:t>
      </w:r>
      <w:r w:rsidR="00251FB6">
        <w:t xml:space="preserve">mosquito vector </w:t>
      </w:r>
      <w:r w:rsidR="00953782">
        <w:t>lab</w:t>
      </w:r>
      <w:r w:rsidR="00EA21E7">
        <w:t>oratory</w:t>
      </w:r>
      <w:r w:rsidR="00953782">
        <w:t xml:space="preserve"> research</w:t>
      </w:r>
      <w:r w:rsidR="007E7C61">
        <w:t xml:space="preserve">. </w:t>
      </w:r>
      <w:r w:rsidR="007E7C61" w:rsidRPr="007E7C61">
        <w:t>This should include the capacity to design and conduct a range of bioassays and experimental studie</w:t>
      </w:r>
      <w:r w:rsidR="0060153A">
        <w:t xml:space="preserve">s, </w:t>
      </w:r>
      <w:r w:rsidR="003637A2">
        <w:t>such as:</w:t>
      </w:r>
    </w:p>
    <w:p w14:paraId="78D269DC" w14:textId="3CB15814" w:rsidR="003F3EAB" w:rsidRDefault="00B350A4" w:rsidP="00215051">
      <w:pPr>
        <w:pStyle w:val="ListParagraph"/>
        <w:numPr>
          <w:ilvl w:val="0"/>
          <w:numId w:val="43"/>
        </w:numPr>
      </w:pPr>
      <w:r w:rsidRPr="00B350A4">
        <w:t>Standard insecticide susceptibility and resistance assays (e.g. WHO tube assays, CDC/WHO bottle bioassays).</w:t>
      </w:r>
    </w:p>
    <w:p w14:paraId="2F527B6A" w14:textId="77777777" w:rsidR="002E4DC3" w:rsidRDefault="00B350A4" w:rsidP="002E4DC3">
      <w:pPr>
        <w:pStyle w:val="ListParagraph"/>
        <w:numPr>
          <w:ilvl w:val="0"/>
          <w:numId w:val="43"/>
        </w:numPr>
      </w:pPr>
      <w:r w:rsidRPr="00B350A4">
        <w:t xml:space="preserve">Experimental evaluation of </w:t>
      </w:r>
      <w:r w:rsidR="00E37C6A">
        <w:t xml:space="preserve">mosquito entomological endpoints </w:t>
      </w:r>
      <w:r w:rsidRPr="00B350A4">
        <w:t>(e.g. cone bioassays</w:t>
      </w:r>
      <w:r w:rsidR="00E37C6A">
        <w:t xml:space="preserve">, </w:t>
      </w:r>
      <w:r w:rsidRPr="00B350A4">
        <w:t>tunnel tests</w:t>
      </w:r>
      <w:r w:rsidR="00E37C6A">
        <w:t>,</w:t>
      </w:r>
      <w:r w:rsidRPr="00B350A4">
        <w:t xml:space="preserve"> or similar approaches), including work involving live hosts where appropriate and conducted in accordance with ethical and animal welfare standards.</w:t>
      </w:r>
      <w:r w:rsidR="002E4DC3">
        <w:t xml:space="preserve"> </w:t>
      </w:r>
    </w:p>
    <w:p w14:paraId="7A47DB8E" w14:textId="0B2897C1" w:rsidR="002E4DC3" w:rsidRDefault="00A0252E" w:rsidP="002E4DC3">
      <w:pPr>
        <w:pStyle w:val="ListParagraph"/>
        <w:numPr>
          <w:ilvl w:val="0"/>
          <w:numId w:val="43"/>
        </w:numPr>
      </w:pPr>
      <w:r>
        <w:t>Design and validation of methods for novel products or active ingredients that are not suitable for standard testing methods</w:t>
      </w:r>
      <w:r w:rsidR="008120FB">
        <w:t>.</w:t>
      </w:r>
    </w:p>
    <w:p w14:paraId="6DC4E077" w14:textId="09576EF1" w:rsidR="00612190" w:rsidRDefault="00AD4FC0" w:rsidP="002E4DC3">
      <w:pPr>
        <w:pStyle w:val="ListParagraph"/>
        <w:numPr>
          <w:ilvl w:val="0"/>
          <w:numId w:val="43"/>
        </w:numPr>
      </w:pPr>
      <w:r>
        <w:t>Ability to perform m</w:t>
      </w:r>
      <w:r w:rsidRPr="00612190">
        <w:t>osquito behavioural assay</w:t>
      </w:r>
      <w:r w:rsidR="007514AE">
        <w:t>s</w:t>
      </w:r>
      <w:r>
        <w:t>,</w:t>
      </w:r>
      <w:r w:rsidRPr="00612190">
        <w:t xml:space="preserve"> beyond the routine behavioural endpoints captured in standard WHO </w:t>
      </w:r>
      <w:r>
        <w:t>assays.</w:t>
      </w:r>
    </w:p>
    <w:p w14:paraId="7E265EEF" w14:textId="77777777" w:rsidR="002F42C7" w:rsidRPr="00612190" w:rsidRDefault="002F42C7" w:rsidP="002F42C7">
      <w:pPr>
        <w:ind w:left="360"/>
      </w:pPr>
    </w:p>
    <w:p w14:paraId="34E425EC" w14:textId="44453FE1" w:rsidR="00612190" w:rsidRDefault="00612190" w:rsidP="00652A24">
      <w:pPr>
        <w:pStyle w:val="Heading3"/>
        <w:numPr>
          <w:ilvl w:val="2"/>
          <w:numId w:val="1"/>
        </w:numPr>
      </w:pPr>
      <w:r>
        <w:t>Semi</w:t>
      </w:r>
      <w:r w:rsidR="067241F9">
        <w:t xml:space="preserve"> </w:t>
      </w:r>
      <w:r>
        <w:t xml:space="preserve">field </w:t>
      </w:r>
      <w:r w:rsidR="1E2E2809">
        <w:t>trials</w:t>
      </w:r>
    </w:p>
    <w:p w14:paraId="5CF16F0E" w14:textId="77777777" w:rsidR="00052156" w:rsidRPr="00EE35B6" w:rsidRDefault="00052156" w:rsidP="00EE35B6">
      <w:pPr>
        <w:rPr>
          <w:b/>
          <w:bCs/>
        </w:rPr>
      </w:pPr>
    </w:p>
    <w:p w14:paraId="3C5AD537" w14:textId="4529DA35" w:rsidR="00625BC9" w:rsidRDefault="00612190" w:rsidP="00625BC9">
      <w:pPr>
        <w:pStyle w:val="ListParagraph"/>
        <w:numPr>
          <w:ilvl w:val="0"/>
          <w:numId w:val="16"/>
        </w:numPr>
      </w:pPr>
      <w:r>
        <w:t>The partner should have</w:t>
      </w:r>
      <w:r w:rsidR="004C7388">
        <w:t>, or be able to access,</w:t>
      </w:r>
      <w:r>
        <w:t xml:space="preserve"> capacity to conduct</w:t>
      </w:r>
      <w:r w:rsidR="6AA2C007">
        <w:t xml:space="preserve"> e</w:t>
      </w:r>
      <w:r>
        <w:t>xperimental hut trials (West African, East African, or other WHO</w:t>
      </w:r>
      <w:r w:rsidR="39AD29C2">
        <w:t xml:space="preserve"> </w:t>
      </w:r>
      <w:r>
        <w:t>accepted hut designs) in line with WHO guidelines and SOPs</w:t>
      </w:r>
      <w:r w:rsidR="1733AAC5">
        <w:t>.</w:t>
      </w:r>
    </w:p>
    <w:p w14:paraId="3C2924CC" w14:textId="646921BD" w:rsidR="00612190" w:rsidRDefault="00612190" w:rsidP="00625BC9">
      <w:pPr>
        <w:pStyle w:val="ListParagraph"/>
        <w:numPr>
          <w:ilvl w:val="0"/>
          <w:numId w:val="16"/>
        </w:numPr>
      </w:pPr>
      <w:r>
        <w:t xml:space="preserve">Access to </w:t>
      </w:r>
      <w:r w:rsidR="00CC50CA">
        <w:t xml:space="preserve">closed </w:t>
      </w:r>
      <w:r>
        <w:t>semi</w:t>
      </w:r>
      <w:r w:rsidR="7A8A0137">
        <w:t xml:space="preserve"> </w:t>
      </w:r>
      <w:r>
        <w:t xml:space="preserve">field systems </w:t>
      </w:r>
      <w:r w:rsidR="00EF4483">
        <w:t xml:space="preserve">for release/recapture studies </w:t>
      </w:r>
      <w:r>
        <w:t>(e.g. large</w:t>
      </w:r>
      <w:r w:rsidR="5716E548">
        <w:t xml:space="preserve"> </w:t>
      </w:r>
      <w:r>
        <w:t xml:space="preserve">cage systems such as IACT, or equivalent) is </w:t>
      </w:r>
      <w:r w:rsidR="00BF7BE1">
        <w:t>beneficial but</w:t>
      </w:r>
      <w:r>
        <w:t xml:space="preserve"> is not a minimum requirement.</w:t>
      </w:r>
    </w:p>
    <w:p w14:paraId="3165D412" w14:textId="77777777" w:rsidR="00335FDF" w:rsidRDefault="00335FDF" w:rsidP="00612190"/>
    <w:p w14:paraId="18541347" w14:textId="3CEA882C" w:rsidR="009B68D8" w:rsidRDefault="001E5A22" w:rsidP="001E5A22">
      <w:r w:rsidRPr="00D83151">
        <w:rPr>
          <w:b/>
          <w:bCs/>
        </w:rPr>
        <w:t xml:space="preserve">Table 1. </w:t>
      </w:r>
      <w:r w:rsidR="00D83151" w:rsidRPr="00D83151">
        <w:rPr>
          <w:b/>
          <w:bCs/>
        </w:rPr>
        <w:t xml:space="preserve">Estimated </w:t>
      </w:r>
      <w:r w:rsidRPr="00D83151">
        <w:rPr>
          <w:b/>
          <w:bCs/>
        </w:rPr>
        <w:t xml:space="preserve">yearly </w:t>
      </w:r>
      <w:r w:rsidR="005A0DAF">
        <w:rPr>
          <w:b/>
          <w:bCs/>
        </w:rPr>
        <w:t xml:space="preserve">IVCC </w:t>
      </w:r>
      <w:r w:rsidR="002C3DEA">
        <w:rPr>
          <w:b/>
          <w:bCs/>
        </w:rPr>
        <w:t>requirements</w:t>
      </w:r>
      <w:r w:rsidRPr="00D83151">
        <w:rPr>
          <w:b/>
          <w:bCs/>
        </w:rPr>
        <w:t xml:space="preserve"> for </w:t>
      </w:r>
      <w:r w:rsidR="00EE4103">
        <w:rPr>
          <w:b/>
          <w:bCs/>
        </w:rPr>
        <w:t xml:space="preserve">desk-based, </w:t>
      </w:r>
      <w:r w:rsidRPr="00D83151">
        <w:rPr>
          <w:b/>
          <w:bCs/>
        </w:rPr>
        <w:t>laboratory and semi-field trials</w:t>
      </w:r>
      <w:r w:rsidR="00D83151" w:rsidRPr="00D83151">
        <w:rPr>
          <w:b/>
          <w:bCs/>
        </w:rPr>
        <w:t>.</w:t>
      </w:r>
      <w:r w:rsidR="00D83151">
        <w:t xml:space="preserve"> </w:t>
      </w:r>
      <w:r>
        <w:t xml:space="preserve">This table shows the </w:t>
      </w:r>
      <w:r w:rsidR="00562E99">
        <w:t xml:space="preserve">estimated </w:t>
      </w:r>
      <w:r w:rsidR="005F13B0">
        <w:t>required capacity by trial type</w:t>
      </w:r>
      <w:r>
        <w:t>, with indicative numbers of trials needed each year.</w:t>
      </w:r>
    </w:p>
    <w:tbl>
      <w:tblPr>
        <w:tblStyle w:val="TableGrid"/>
        <w:tblW w:w="0" w:type="auto"/>
        <w:tblLayout w:type="fixed"/>
        <w:tblLook w:val="04A0" w:firstRow="1" w:lastRow="0" w:firstColumn="1" w:lastColumn="0" w:noHBand="0" w:noVBand="1"/>
      </w:tblPr>
      <w:tblGrid>
        <w:gridCol w:w="2689"/>
        <w:gridCol w:w="4394"/>
        <w:gridCol w:w="2267"/>
      </w:tblGrid>
      <w:tr w:rsidR="00074ABD" w:rsidRPr="005F13B0" w14:paraId="3DA66E1C" w14:textId="77777777" w:rsidTr="004268F4">
        <w:tc>
          <w:tcPr>
            <w:tcW w:w="2689" w:type="dxa"/>
            <w:shd w:val="clear" w:color="auto" w:fill="156082" w:themeFill="accent1"/>
            <w:vAlign w:val="center"/>
          </w:tcPr>
          <w:p w14:paraId="7EF864DD" w14:textId="69DE2B08" w:rsidR="00074ABD" w:rsidRPr="004268F4" w:rsidRDefault="00074ABD" w:rsidP="004268F4">
            <w:pPr>
              <w:jc w:val="center"/>
              <w:rPr>
                <w:b/>
                <w:bCs/>
                <w:color w:val="FFFFFF" w:themeColor="background1"/>
              </w:rPr>
            </w:pPr>
            <w:r w:rsidRPr="004268F4">
              <w:rPr>
                <w:b/>
                <w:bCs/>
                <w:color w:val="FFFFFF" w:themeColor="background1"/>
              </w:rPr>
              <w:t>Trial</w:t>
            </w:r>
            <w:r w:rsidR="005F13B0" w:rsidRPr="004268F4">
              <w:rPr>
                <w:b/>
                <w:bCs/>
                <w:color w:val="FFFFFF" w:themeColor="background1"/>
              </w:rPr>
              <w:t xml:space="preserve"> type</w:t>
            </w:r>
          </w:p>
        </w:tc>
        <w:tc>
          <w:tcPr>
            <w:tcW w:w="4394" w:type="dxa"/>
            <w:shd w:val="clear" w:color="auto" w:fill="156082" w:themeFill="accent1"/>
            <w:vAlign w:val="center"/>
          </w:tcPr>
          <w:p w14:paraId="1D8B6EA5" w14:textId="3AB9013A" w:rsidR="00074ABD" w:rsidRPr="004268F4" w:rsidRDefault="00074ABD" w:rsidP="004268F4">
            <w:pPr>
              <w:jc w:val="center"/>
              <w:rPr>
                <w:b/>
                <w:bCs/>
                <w:color w:val="FFFFFF" w:themeColor="background1"/>
              </w:rPr>
            </w:pPr>
            <w:r w:rsidRPr="004268F4">
              <w:rPr>
                <w:b/>
                <w:bCs/>
                <w:color w:val="FFFFFF" w:themeColor="background1"/>
              </w:rPr>
              <w:t>Required capacity</w:t>
            </w:r>
          </w:p>
        </w:tc>
        <w:tc>
          <w:tcPr>
            <w:tcW w:w="2267" w:type="dxa"/>
            <w:shd w:val="clear" w:color="auto" w:fill="156082" w:themeFill="accent1"/>
            <w:vAlign w:val="center"/>
          </w:tcPr>
          <w:p w14:paraId="092077F3" w14:textId="5F8A654B" w:rsidR="00074ABD" w:rsidRPr="004268F4" w:rsidRDefault="005F13B0" w:rsidP="004268F4">
            <w:pPr>
              <w:jc w:val="center"/>
              <w:rPr>
                <w:b/>
                <w:bCs/>
                <w:color w:val="FFFFFF" w:themeColor="background1"/>
              </w:rPr>
            </w:pPr>
            <w:r w:rsidRPr="004268F4">
              <w:rPr>
                <w:b/>
                <w:bCs/>
                <w:color w:val="FFFFFF" w:themeColor="background1"/>
              </w:rPr>
              <w:t>Number</w:t>
            </w:r>
            <w:r w:rsidR="00F2236C">
              <w:rPr>
                <w:b/>
                <w:bCs/>
                <w:color w:val="FFFFFF" w:themeColor="background1"/>
              </w:rPr>
              <w:t xml:space="preserve"> of trials</w:t>
            </w:r>
          </w:p>
        </w:tc>
      </w:tr>
      <w:tr w:rsidR="007E7F5B" w:rsidRPr="005F13B0" w14:paraId="16156900" w14:textId="77777777" w:rsidTr="00A461A1">
        <w:tc>
          <w:tcPr>
            <w:tcW w:w="2689" w:type="dxa"/>
            <w:vAlign w:val="center"/>
          </w:tcPr>
          <w:p w14:paraId="5773164E" w14:textId="7C6A509C" w:rsidR="007E7F5B" w:rsidRPr="00A461A1" w:rsidRDefault="007E2A6B" w:rsidP="007E2A6B">
            <w:pPr>
              <w:jc w:val="center"/>
              <w:rPr>
                <w:color w:val="auto"/>
              </w:rPr>
            </w:pPr>
            <w:r w:rsidRPr="00A461A1">
              <w:rPr>
                <w:color w:val="auto"/>
              </w:rPr>
              <w:t>Desk-based Activities</w:t>
            </w:r>
          </w:p>
        </w:tc>
        <w:tc>
          <w:tcPr>
            <w:tcW w:w="4394" w:type="dxa"/>
            <w:vAlign w:val="center"/>
          </w:tcPr>
          <w:p w14:paraId="58224CB8" w14:textId="714D567B" w:rsidR="007E2A6B" w:rsidRPr="00A461A1" w:rsidRDefault="007E2A6B" w:rsidP="007E2A6B">
            <w:pPr>
              <w:jc w:val="center"/>
              <w:rPr>
                <w:color w:val="auto"/>
              </w:rPr>
            </w:pPr>
            <w:r w:rsidRPr="00A461A1">
              <w:rPr>
                <w:color w:val="auto"/>
              </w:rPr>
              <w:t>Conducting structured literature searches and evidence mapping of published and grey literature </w:t>
            </w:r>
          </w:p>
          <w:p w14:paraId="38A3D294" w14:textId="77777777" w:rsidR="007E2A6B" w:rsidRPr="00A461A1" w:rsidRDefault="007E2A6B" w:rsidP="00575E1B">
            <w:pPr>
              <w:jc w:val="center"/>
              <w:rPr>
                <w:color w:val="auto"/>
              </w:rPr>
            </w:pPr>
          </w:p>
          <w:p w14:paraId="752B9B81" w14:textId="3EFB9835" w:rsidR="007E7F5B" w:rsidRPr="00A461A1" w:rsidRDefault="00575E1B" w:rsidP="00575E1B">
            <w:pPr>
              <w:jc w:val="center"/>
              <w:rPr>
                <w:color w:val="auto"/>
              </w:rPr>
            </w:pPr>
            <w:r w:rsidRPr="00A461A1">
              <w:rPr>
                <w:color w:val="auto"/>
              </w:rPr>
              <w:lastRenderedPageBreak/>
              <w:t>Synthesising findings into systematic reviews, scoping reviews, opinion pieces, or structured datasets ready for modelling and analysis</w:t>
            </w:r>
          </w:p>
        </w:tc>
        <w:tc>
          <w:tcPr>
            <w:tcW w:w="2267" w:type="dxa"/>
            <w:vAlign w:val="center"/>
          </w:tcPr>
          <w:p w14:paraId="24F996A8" w14:textId="3402D225" w:rsidR="007E7F5B" w:rsidRPr="00C32F2C" w:rsidRDefault="00575E1B" w:rsidP="004268F4">
            <w:pPr>
              <w:jc w:val="center"/>
              <w:rPr>
                <w:color w:val="auto"/>
              </w:rPr>
            </w:pPr>
            <w:r w:rsidRPr="00A461A1">
              <w:rPr>
                <w:color w:val="auto"/>
              </w:rPr>
              <w:lastRenderedPageBreak/>
              <w:t>Up to 2 -</w:t>
            </w:r>
            <w:r w:rsidR="00A461A1">
              <w:rPr>
                <w:color w:val="auto"/>
              </w:rPr>
              <w:t xml:space="preserve"> </w:t>
            </w:r>
            <w:r w:rsidR="008120FB">
              <w:rPr>
                <w:color w:val="auto"/>
              </w:rPr>
              <w:t>3</w:t>
            </w:r>
            <w:r w:rsidRPr="00C32F2C">
              <w:rPr>
                <w:color w:val="auto"/>
              </w:rPr>
              <w:t xml:space="preserve"> activities per year (depending on scope)</w:t>
            </w:r>
          </w:p>
        </w:tc>
      </w:tr>
      <w:tr w:rsidR="007E7F5B" w:rsidRPr="005F13B0" w14:paraId="4DC735FA" w14:textId="77777777" w:rsidTr="00A461A1">
        <w:tc>
          <w:tcPr>
            <w:tcW w:w="2689" w:type="dxa"/>
            <w:vAlign w:val="center"/>
          </w:tcPr>
          <w:p w14:paraId="34A61A86" w14:textId="77777777" w:rsidR="007E2A6B" w:rsidRPr="00C32F2C" w:rsidRDefault="007E2A6B" w:rsidP="007E2A6B">
            <w:pPr>
              <w:jc w:val="center"/>
              <w:rPr>
                <w:color w:val="auto"/>
              </w:rPr>
            </w:pPr>
            <w:r w:rsidRPr="00C32F2C">
              <w:rPr>
                <w:color w:val="auto"/>
              </w:rPr>
              <w:t>Laboratory trials </w:t>
            </w:r>
          </w:p>
          <w:p w14:paraId="2934F341" w14:textId="77777777" w:rsidR="007E7F5B" w:rsidRPr="00C32F2C" w:rsidRDefault="007E7F5B" w:rsidP="004268F4">
            <w:pPr>
              <w:jc w:val="center"/>
              <w:rPr>
                <w:color w:val="auto"/>
              </w:rPr>
            </w:pPr>
          </w:p>
        </w:tc>
        <w:tc>
          <w:tcPr>
            <w:tcW w:w="4394" w:type="dxa"/>
            <w:vAlign w:val="center"/>
          </w:tcPr>
          <w:p w14:paraId="35AC76F2" w14:textId="550AF5E8" w:rsidR="001C4E49" w:rsidRPr="00C32F2C" w:rsidRDefault="001C4E49" w:rsidP="001C4E49">
            <w:pPr>
              <w:jc w:val="center"/>
              <w:rPr>
                <w:color w:val="auto"/>
              </w:rPr>
            </w:pPr>
            <w:r w:rsidRPr="00C32F2C">
              <w:rPr>
                <w:color w:val="auto"/>
              </w:rPr>
              <w:t>Lab-based trials with limited scope and duration. Methods could be novel or experimental</w:t>
            </w:r>
          </w:p>
          <w:p w14:paraId="345BFBC1" w14:textId="77777777" w:rsidR="001C4E49" w:rsidRPr="00C32F2C" w:rsidRDefault="001C4E49" w:rsidP="001C4E49">
            <w:pPr>
              <w:jc w:val="center"/>
              <w:rPr>
                <w:color w:val="auto"/>
              </w:rPr>
            </w:pPr>
          </w:p>
          <w:p w14:paraId="47D5ECC9" w14:textId="021FE763" w:rsidR="001C4E49" w:rsidRPr="00C32F2C" w:rsidRDefault="001C4E49" w:rsidP="001C4E49">
            <w:pPr>
              <w:jc w:val="center"/>
              <w:rPr>
                <w:color w:val="auto"/>
              </w:rPr>
            </w:pPr>
            <w:r w:rsidRPr="00C32F2C">
              <w:rPr>
                <w:color w:val="auto"/>
              </w:rPr>
              <w:t xml:space="preserve">Examples </w:t>
            </w:r>
            <w:proofErr w:type="gramStart"/>
            <w:r w:rsidRPr="00C32F2C">
              <w:rPr>
                <w:color w:val="auto"/>
              </w:rPr>
              <w:t>include:</w:t>
            </w:r>
            <w:proofErr w:type="gramEnd"/>
            <w:r w:rsidRPr="00C32F2C">
              <w:rPr>
                <w:color w:val="auto"/>
              </w:rPr>
              <w:t xml:space="preserve"> WHO cone/tube assays, tunnel tests, spatial active compound testing etc</w:t>
            </w:r>
            <w:r w:rsidR="00F10B6F">
              <w:rPr>
                <w:color w:val="auto"/>
              </w:rPr>
              <w:t>.</w:t>
            </w:r>
          </w:p>
          <w:p w14:paraId="74E9B468" w14:textId="77777777" w:rsidR="001C4E49" w:rsidRPr="00C32F2C" w:rsidRDefault="001C4E49" w:rsidP="001C4E49">
            <w:pPr>
              <w:jc w:val="center"/>
              <w:rPr>
                <w:color w:val="auto"/>
              </w:rPr>
            </w:pPr>
          </w:p>
          <w:p w14:paraId="6F64D7A2" w14:textId="3341E5F6" w:rsidR="007E7F5B" w:rsidRPr="00C32F2C" w:rsidRDefault="001C4E49" w:rsidP="001C4E49">
            <w:pPr>
              <w:jc w:val="center"/>
              <w:rPr>
                <w:color w:val="auto"/>
              </w:rPr>
            </w:pPr>
            <w:r w:rsidRPr="00C32F2C">
              <w:rPr>
                <w:color w:val="auto"/>
              </w:rPr>
              <w:t>Note that we would expect the appropriate storage and disposal of treated materials</w:t>
            </w:r>
          </w:p>
        </w:tc>
        <w:tc>
          <w:tcPr>
            <w:tcW w:w="2267" w:type="dxa"/>
            <w:vAlign w:val="center"/>
          </w:tcPr>
          <w:p w14:paraId="722167BA" w14:textId="06776C36" w:rsidR="006B2603" w:rsidRPr="00C32F2C" w:rsidRDefault="006B2603" w:rsidP="006B2603">
            <w:pPr>
              <w:jc w:val="center"/>
              <w:rPr>
                <w:color w:val="auto"/>
              </w:rPr>
            </w:pPr>
            <w:r w:rsidRPr="00C32F2C">
              <w:rPr>
                <w:color w:val="auto"/>
              </w:rPr>
              <w:t>Up to 2 trials per year (depending on trial type</w:t>
            </w:r>
            <w:r w:rsidR="00F10B6F">
              <w:rPr>
                <w:color w:val="auto"/>
              </w:rPr>
              <w:t>)</w:t>
            </w:r>
          </w:p>
          <w:p w14:paraId="0AB14596" w14:textId="77777777" w:rsidR="007E7F5B" w:rsidRPr="00C32F2C" w:rsidRDefault="007E7F5B" w:rsidP="00C32F2C">
            <w:pPr>
              <w:rPr>
                <w:color w:val="auto"/>
              </w:rPr>
            </w:pPr>
          </w:p>
        </w:tc>
      </w:tr>
      <w:tr w:rsidR="00575E1B" w:rsidRPr="005F13B0" w14:paraId="4D375900" w14:textId="77777777" w:rsidTr="00A461A1">
        <w:tc>
          <w:tcPr>
            <w:tcW w:w="2689" w:type="dxa"/>
            <w:vAlign w:val="center"/>
          </w:tcPr>
          <w:p w14:paraId="7DEE8BF3" w14:textId="77777777" w:rsidR="007E2A6B" w:rsidRPr="00C32F2C" w:rsidRDefault="007E2A6B" w:rsidP="007E2A6B">
            <w:pPr>
              <w:jc w:val="center"/>
              <w:rPr>
                <w:color w:val="auto"/>
              </w:rPr>
            </w:pPr>
            <w:r w:rsidRPr="00C32F2C">
              <w:rPr>
                <w:color w:val="auto"/>
              </w:rPr>
              <w:t>Semi-field trials </w:t>
            </w:r>
          </w:p>
          <w:p w14:paraId="42265F37" w14:textId="77777777" w:rsidR="00575E1B" w:rsidRPr="00C32F2C" w:rsidRDefault="00575E1B" w:rsidP="00C32F2C">
            <w:pPr>
              <w:rPr>
                <w:color w:val="auto"/>
              </w:rPr>
            </w:pPr>
          </w:p>
        </w:tc>
        <w:tc>
          <w:tcPr>
            <w:tcW w:w="4394" w:type="dxa"/>
            <w:vAlign w:val="center"/>
          </w:tcPr>
          <w:p w14:paraId="4280150C" w14:textId="1CFC6C5A" w:rsidR="001C4E49" w:rsidRPr="00C32F2C" w:rsidRDefault="001C4E49" w:rsidP="001C4E49">
            <w:pPr>
              <w:jc w:val="center"/>
              <w:rPr>
                <w:color w:val="auto"/>
              </w:rPr>
            </w:pPr>
            <w:r w:rsidRPr="00C32F2C">
              <w:rPr>
                <w:color w:val="auto"/>
              </w:rPr>
              <w:t>Semi-field-based trials with limited scope and duration. Methods could be novel or experimental</w:t>
            </w:r>
          </w:p>
          <w:p w14:paraId="46B43571" w14:textId="77777777" w:rsidR="001C4E49" w:rsidRPr="00C32F2C" w:rsidRDefault="001C4E49" w:rsidP="001C4E49">
            <w:pPr>
              <w:jc w:val="center"/>
              <w:rPr>
                <w:color w:val="auto"/>
              </w:rPr>
            </w:pPr>
          </w:p>
          <w:p w14:paraId="0A72FFDA" w14:textId="1AD572B2" w:rsidR="001C4E49" w:rsidRPr="00C32F2C" w:rsidRDefault="001C4E49" w:rsidP="001C4E49">
            <w:pPr>
              <w:jc w:val="center"/>
              <w:rPr>
                <w:color w:val="auto"/>
              </w:rPr>
            </w:pPr>
            <w:r w:rsidRPr="00C32F2C">
              <w:rPr>
                <w:color w:val="auto"/>
              </w:rPr>
              <w:t xml:space="preserve">Examples </w:t>
            </w:r>
            <w:proofErr w:type="gramStart"/>
            <w:r w:rsidRPr="00C32F2C">
              <w:rPr>
                <w:color w:val="auto"/>
              </w:rPr>
              <w:t>include:</w:t>
            </w:r>
            <w:proofErr w:type="gramEnd"/>
            <w:r w:rsidRPr="00C32F2C">
              <w:rPr>
                <w:color w:val="auto"/>
              </w:rPr>
              <w:t xml:space="preserve"> Hut/IACT studies and semi-field cage testing</w:t>
            </w:r>
          </w:p>
          <w:p w14:paraId="78CE12D4" w14:textId="77777777" w:rsidR="001C4E49" w:rsidRPr="00C32F2C" w:rsidRDefault="001C4E49" w:rsidP="001C4E49">
            <w:pPr>
              <w:jc w:val="center"/>
              <w:rPr>
                <w:color w:val="auto"/>
              </w:rPr>
            </w:pPr>
          </w:p>
          <w:p w14:paraId="551F8DA2" w14:textId="099DD169" w:rsidR="00575E1B" w:rsidRPr="00C32F2C" w:rsidRDefault="001C4E49" w:rsidP="001C4E49">
            <w:pPr>
              <w:jc w:val="center"/>
              <w:rPr>
                <w:color w:val="auto"/>
              </w:rPr>
            </w:pPr>
            <w:r w:rsidRPr="00C32F2C">
              <w:rPr>
                <w:color w:val="auto"/>
              </w:rPr>
              <w:t>Note that we would expect the appropriate storage and disposal of treated materials</w:t>
            </w:r>
          </w:p>
        </w:tc>
        <w:tc>
          <w:tcPr>
            <w:tcW w:w="2267" w:type="dxa"/>
            <w:vAlign w:val="center"/>
          </w:tcPr>
          <w:p w14:paraId="7E90E91D" w14:textId="6A7483DA" w:rsidR="001C4E49" w:rsidRPr="00C32F2C" w:rsidRDefault="001C4E49" w:rsidP="001C4E49">
            <w:pPr>
              <w:jc w:val="center"/>
              <w:rPr>
                <w:color w:val="auto"/>
              </w:rPr>
            </w:pPr>
            <w:r w:rsidRPr="00C32F2C">
              <w:rPr>
                <w:color w:val="auto"/>
              </w:rPr>
              <w:t>1 trial per year (depending on trial type)</w:t>
            </w:r>
          </w:p>
          <w:p w14:paraId="368952B9" w14:textId="77777777" w:rsidR="00575E1B" w:rsidRPr="00C32F2C" w:rsidRDefault="00575E1B" w:rsidP="004268F4">
            <w:pPr>
              <w:jc w:val="center"/>
              <w:rPr>
                <w:color w:val="auto"/>
              </w:rPr>
            </w:pPr>
          </w:p>
        </w:tc>
      </w:tr>
    </w:tbl>
    <w:p w14:paraId="0695D3A4" w14:textId="77777777" w:rsidR="00D83151" w:rsidRDefault="00D83151" w:rsidP="001E5A22"/>
    <w:p w14:paraId="0CC13C33" w14:textId="011997DA" w:rsidR="00580BD7" w:rsidRDefault="00612190" w:rsidP="00652A24">
      <w:pPr>
        <w:pStyle w:val="Heading3"/>
        <w:numPr>
          <w:ilvl w:val="2"/>
          <w:numId w:val="1"/>
        </w:numPr>
      </w:pPr>
      <w:r w:rsidRPr="00EE35B6">
        <w:t>Additional capacity requirements</w:t>
      </w:r>
    </w:p>
    <w:p w14:paraId="67138C4C" w14:textId="77777777" w:rsidR="00935684" w:rsidRDefault="00935684" w:rsidP="00612190"/>
    <w:p w14:paraId="432B10E5" w14:textId="26D2ABDD" w:rsidR="00BF3E6B" w:rsidRPr="00612190" w:rsidRDefault="00BF3E6B" w:rsidP="00612190">
      <w:pPr>
        <w:rPr>
          <w:i/>
          <w:iCs/>
        </w:rPr>
      </w:pPr>
      <w:r w:rsidRPr="008756F5">
        <w:rPr>
          <w:i/>
          <w:iCs/>
        </w:rPr>
        <w:t>Mosquito Species</w:t>
      </w:r>
    </w:p>
    <w:p w14:paraId="726A101C" w14:textId="355D896D" w:rsidR="00612190" w:rsidRPr="00612190" w:rsidRDefault="00612190" w:rsidP="00612190">
      <w:pPr>
        <w:numPr>
          <w:ilvl w:val="0"/>
          <w:numId w:val="13"/>
        </w:numPr>
        <w:tabs>
          <w:tab w:val="num" w:pos="720"/>
        </w:tabs>
      </w:pPr>
      <w:r w:rsidRPr="00612190">
        <w:t xml:space="preserve">Insectary capacity to maintain susceptible, resistant, and </w:t>
      </w:r>
      <w:r w:rsidR="008756F5">
        <w:t xml:space="preserve">(optional) </w:t>
      </w:r>
      <w:r w:rsidRPr="00612190">
        <w:t>field</w:t>
      </w:r>
      <w:r w:rsidRPr="00612190">
        <w:noBreakHyphen/>
        <w:t>derived mosquito strains in sufficient numbers to support planned testing activities.</w:t>
      </w:r>
    </w:p>
    <w:p w14:paraId="646C03E3" w14:textId="754C5AD1" w:rsidR="008756F5" w:rsidRDefault="008756F5" w:rsidP="008756F5">
      <w:pPr>
        <w:pStyle w:val="ListParagraph"/>
        <w:numPr>
          <w:ilvl w:val="0"/>
          <w:numId w:val="13"/>
        </w:numPr>
      </w:pPr>
      <w:r>
        <w:t>M</w:t>
      </w:r>
      <w:r w:rsidRPr="008756F5">
        <w:t>inimum requirement</w:t>
      </w:r>
      <w:r>
        <w:t>:</w:t>
      </w:r>
      <w:r w:rsidRPr="008756F5">
        <w:t xml:space="preserve"> access to a standard laboratory susceptible strain of </w:t>
      </w:r>
      <w:r w:rsidRPr="00CB1CDA">
        <w:rPr>
          <w:i/>
          <w:iCs/>
        </w:rPr>
        <w:t>Anopheles</w:t>
      </w:r>
      <w:r w:rsidRPr="008756F5">
        <w:t xml:space="preserve">, e.g. the Kisumu strain of </w:t>
      </w:r>
      <w:r w:rsidRPr="00CB1CDA">
        <w:rPr>
          <w:i/>
          <w:iCs/>
        </w:rPr>
        <w:t>An. gambiae</w:t>
      </w:r>
      <w:r w:rsidRPr="008756F5">
        <w:t xml:space="preserve"> s.s., and a characterized resistant strain of </w:t>
      </w:r>
      <w:r w:rsidRPr="002847B9">
        <w:rPr>
          <w:i/>
          <w:iCs/>
        </w:rPr>
        <w:t>An. gambiae</w:t>
      </w:r>
      <w:r w:rsidRPr="008756F5">
        <w:t xml:space="preserve">, </w:t>
      </w:r>
      <w:r w:rsidRPr="002847B9">
        <w:rPr>
          <w:i/>
          <w:iCs/>
        </w:rPr>
        <w:t>An. funestus</w:t>
      </w:r>
      <w:r w:rsidRPr="008756F5">
        <w:t xml:space="preserve"> o</w:t>
      </w:r>
      <w:r w:rsidR="002847B9">
        <w:t>r</w:t>
      </w:r>
      <w:r w:rsidRPr="008756F5">
        <w:t xml:space="preserve"> </w:t>
      </w:r>
      <w:r w:rsidRPr="002847B9">
        <w:rPr>
          <w:i/>
          <w:iCs/>
        </w:rPr>
        <w:t>An. coluzzii</w:t>
      </w:r>
      <w:r w:rsidRPr="008756F5">
        <w:t>. Access to field sampled mosquitoes with a known resistance profile would be advantageous.</w:t>
      </w:r>
    </w:p>
    <w:p w14:paraId="6EFC56E9" w14:textId="77777777" w:rsidR="00935684" w:rsidRPr="008756F5" w:rsidRDefault="00935684" w:rsidP="00935684">
      <w:pPr>
        <w:pStyle w:val="ListParagraph"/>
        <w:ind w:left="360"/>
      </w:pPr>
    </w:p>
    <w:p w14:paraId="71170E98" w14:textId="6D5E9FA3" w:rsidR="008756F5" w:rsidRPr="00612190" w:rsidRDefault="00935684" w:rsidP="006F3250">
      <w:pPr>
        <w:rPr>
          <w:i/>
          <w:iCs/>
        </w:rPr>
      </w:pPr>
      <w:r w:rsidRPr="00935684">
        <w:rPr>
          <w:i/>
          <w:iCs/>
        </w:rPr>
        <w:t xml:space="preserve">Chemical </w:t>
      </w:r>
      <w:r w:rsidR="002B2594">
        <w:rPr>
          <w:i/>
          <w:iCs/>
        </w:rPr>
        <w:t>handling</w:t>
      </w:r>
    </w:p>
    <w:p w14:paraId="7B9F03FB" w14:textId="1F1A2EE2" w:rsidR="00612190" w:rsidRDefault="00612190" w:rsidP="00612190">
      <w:pPr>
        <w:numPr>
          <w:ilvl w:val="0"/>
          <w:numId w:val="13"/>
        </w:numPr>
        <w:tabs>
          <w:tab w:val="num" w:pos="720"/>
        </w:tabs>
      </w:pPr>
      <w:r w:rsidRPr="00612190">
        <w:t xml:space="preserve">Systems for safe handling, transport, and disposal of </w:t>
      </w:r>
      <w:r w:rsidR="00E82751">
        <w:t xml:space="preserve">dangerous goods (i.e. </w:t>
      </w:r>
      <w:r w:rsidRPr="00612190">
        <w:t>insecticide and chemical waste</w:t>
      </w:r>
      <w:r w:rsidR="00E82751">
        <w:t>)</w:t>
      </w:r>
      <w:r w:rsidRPr="00612190">
        <w:t xml:space="preserve"> in line with national regulations and good environmental practice.</w:t>
      </w:r>
    </w:p>
    <w:p w14:paraId="66C5486B" w14:textId="77777777" w:rsidR="00C60B70" w:rsidRDefault="00C60B70" w:rsidP="00C60B70"/>
    <w:p w14:paraId="6AEDCDBE" w14:textId="5E06F449" w:rsidR="00C60B70" w:rsidRPr="00612190" w:rsidRDefault="002643D1" w:rsidP="00C60B70">
      <w:pPr>
        <w:rPr>
          <w:i/>
          <w:iCs/>
        </w:rPr>
      </w:pPr>
      <w:r>
        <w:rPr>
          <w:i/>
          <w:iCs/>
        </w:rPr>
        <w:t>Data storage, sharing &amp; reporting</w:t>
      </w:r>
      <w:r w:rsidR="00CD1892">
        <w:rPr>
          <w:i/>
          <w:iCs/>
        </w:rPr>
        <w:t xml:space="preserve"> </w:t>
      </w:r>
    </w:p>
    <w:p w14:paraId="1E68A8ED" w14:textId="27298045" w:rsidR="00612190" w:rsidRPr="00612190" w:rsidRDefault="00612190" w:rsidP="00612190">
      <w:pPr>
        <w:numPr>
          <w:ilvl w:val="0"/>
          <w:numId w:val="13"/>
        </w:numPr>
        <w:tabs>
          <w:tab w:val="num" w:pos="720"/>
        </w:tabs>
      </w:pPr>
      <w:r>
        <w:t>Systems for secure archiving of all</w:t>
      </w:r>
      <w:r w:rsidR="003B6881">
        <w:t xml:space="preserve"> paper-based and electronic</w:t>
      </w:r>
      <w:r>
        <w:t xml:space="preserve"> documentation, including raw data, QA records, and reports.</w:t>
      </w:r>
    </w:p>
    <w:p w14:paraId="098AC479" w14:textId="07E3AD52" w:rsidR="005E54D3" w:rsidRDefault="005E54D3" w:rsidP="009A1FB0">
      <w:pPr>
        <w:numPr>
          <w:ilvl w:val="0"/>
          <w:numId w:val="13"/>
        </w:numPr>
      </w:pPr>
      <w:r w:rsidRPr="005E54D3">
        <w:t xml:space="preserve">The partner should have systems in place to share </w:t>
      </w:r>
      <w:r w:rsidR="002B2594">
        <w:t>research</w:t>
      </w:r>
      <w:r w:rsidR="002B2594" w:rsidRPr="005E54D3">
        <w:t xml:space="preserve"> </w:t>
      </w:r>
      <w:r w:rsidRPr="005E54D3">
        <w:t xml:space="preserve">results with IVCC </w:t>
      </w:r>
      <w:r w:rsidR="0002022A">
        <w:t>in a timely manner (i.e. during monthly technical update calls</w:t>
      </w:r>
      <w:r w:rsidR="00924AE9">
        <w:t>).</w:t>
      </w:r>
      <w:r w:rsidRPr="005E54D3">
        <w:t xml:space="preserve"> </w:t>
      </w:r>
      <w:r w:rsidR="00924AE9">
        <w:t>I</w:t>
      </w:r>
      <w:r w:rsidRPr="005E54D3">
        <w:t xml:space="preserve">ncluding </w:t>
      </w:r>
      <w:r w:rsidR="002B2594">
        <w:t xml:space="preserve">draft literature reviews, </w:t>
      </w:r>
      <w:r w:rsidRPr="005E54D3">
        <w:t>interim results and associated raw data (for example, in Excel or PowerPoint formats)</w:t>
      </w:r>
      <w:r w:rsidR="00924AE9">
        <w:t>,</w:t>
      </w:r>
      <w:r w:rsidRPr="005E54D3">
        <w:t xml:space="preserve"> and, at the end of the </w:t>
      </w:r>
      <w:r w:rsidR="00864726">
        <w:t>project</w:t>
      </w:r>
      <w:r w:rsidRPr="005E54D3">
        <w:t xml:space="preserve">, full </w:t>
      </w:r>
      <w:r w:rsidR="007C2567">
        <w:t>re</w:t>
      </w:r>
      <w:r w:rsidRPr="005E54D3">
        <w:t>ports including the methodology and a summary of the results.</w:t>
      </w:r>
    </w:p>
    <w:p w14:paraId="6377DFA0" w14:textId="5A00C3B4" w:rsidR="00FC2541" w:rsidRDefault="009A1FB0" w:rsidP="009A1FB0">
      <w:pPr>
        <w:numPr>
          <w:ilvl w:val="0"/>
          <w:numId w:val="13"/>
        </w:numPr>
      </w:pPr>
      <w:r>
        <w:t xml:space="preserve">Capacity to produce detailed statistical analyses and interpretation of the data, is beneficial, but not a minimum requirement. Where this is available, applicants should indicate the additional cost of preparing </w:t>
      </w:r>
      <w:r w:rsidR="006A3FB9">
        <w:t>full analysis and interpretation</w:t>
      </w:r>
      <w:r>
        <w:t>, should IVCC request them.</w:t>
      </w:r>
    </w:p>
    <w:p w14:paraId="20D4CE71" w14:textId="77777777" w:rsidR="002643D1" w:rsidRDefault="002643D1" w:rsidP="002643D1"/>
    <w:p w14:paraId="195134CF" w14:textId="77777777" w:rsidR="008C39E3" w:rsidRPr="008C39E3" w:rsidRDefault="008C39E3" w:rsidP="008C39E3">
      <w:pPr>
        <w:rPr>
          <w:i/>
          <w:iCs/>
        </w:rPr>
      </w:pPr>
      <w:r w:rsidRPr="008C39E3">
        <w:rPr>
          <w:i/>
          <w:iCs/>
        </w:rPr>
        <w:t>Safeguarding of staff, students, volunteers, beneficiaries, and communities</w:t>
      </w:r>
    </w:p>
    <w:p w14:paraId="41D969B3" w14:textId="008DF8DA" w:rsidR="008C39E3" w:rsidRDefault="008C39E3" w:rsidP="008C39E3">
      <w:pPr>
        <w:numPr>
          <w:ilvl w:val="0"/>
          <w:numId w:val="32"/>
        </w:numPr>
        <w:tabs>
          <w:tab w:val="num" w:pos="720"/>
        </w:tabs>
      </w:pPr>
      <w:r w:rsidRPr="008C39E3">
        <w:t>IVCC adheres to the FCDO Due Diligence Principles for safeguarding, covering the protection of institutional individuals (i.e. staff and students)</w:t>
      </w:r>
      <w:r w:rsidR="00F14194">
        <w:t>,</w:t>
      </w:r>
      <w:r w:rsidRPr="008C39E3">
        <w:t xml:space="preserve"> as well as those we engage with throughout our work (e.g. community volunteers, trial participants, and beneficiaries receiving the products we evaluate and distribute).</w:t>
      </w:r>
    </w:p>
    <w:p w14:paraId="74B1E996" w14:textId="11F46CC7" w:rsidR="008858BD" w:rsidRDefault="008C39E3" w:rsidP="008C39E3">
      <w:pPr>
        <w:numPr>
          <w:ilvl w:val="0"/>
          <w:numId w:val="32"/>
        </w:numPr>
        <w:tabs>
          <w:tab w:val="num" w:pos="720"/>
        </w:tabs>
      </w:pPr>
      <w:r w:rsidRPr="008C39E3">
        <w:t xml:space="preserve">Applicants should demonstrate how they meet, or will work towards meeting, the FCDO’s six pillars of safeguarding due diligence. Further information is available here: </w:t>
      </w:r>
      <w:hyperlink r:id="rId13" w:history="1">
        <w:r w:rsidRPr="008C39E3">
          <w:rPr>
            <w:rStyle w:val="Hyperlink"/>
          </w:rPr>
          <w:t>https://www.gov.uk/government/publications/dfid-enhanced-due-diligence-safeguarding-for-external-partners</w:t>
        </w:r>
      </w:hyperlink>
    </w:p>
    <w:p w14:paraId="68D1A828" w14:textId="48ED1750" w:rsidR="00D37C27" w:rsidRDefault="00D37C27" w:rsidP="008C39E3">
      <w:pPr>
        <w:numPr>
          <w:ilvl w:val="0"/>
          <w:numId w:val="32"/>
        </w:numPr>
        <w:tabs>
          <w:tab w:val="num" w:pos="720"/>
        </w:tabs>
      </w:pPr>
      <w:r w:rsidRPr="00421C8F">
        <w:t>Where appropriate, please include FTE to support this work in your budget.</w:t>
      </w:r>
    </w:p>
    <w:p w14:paraId="01F67B3A" w14:textId="77777777" w:rsidR="008C39E3" w:rsidRPr="00612190" w:rsidRDefault="008C39E3" w:rsidP="008C39E3">
      <w:pPr>
        <w:ind w:left="360"/>
      </w:pPr>
    </w:p>
    <w:p w14:paraId="319ADB26" w14:textId="49C89F24" w:rsidR="00D55906" w:rsidRDefault="00612190" w:rsidP="00652A24">
      <w:pPr>
        <w:pStyle w:val="Heading3"/>
        <w:numPr>
          <w:ilvl w:val="2"/>
          <w:numId w:val="1"/>
        </w:numPr>
      </w:pPr>
      <w:r w:rsidRPr="00702352">
        <w:t>Activities out of scope for this agreement</w:t>
      </w:r>
    </w:p>
    <w:p w14:paraId="597B1E00" w14:textId="77777777" w:rsidR="00702352" w:rsidRPr="00702352" w:rsidRDefault="00702352" w:rsidP="009B054E">
      <w:pPr>
        <w:pStyle w:val="ListParagraph"/>
        <w:ind w:left="505"/>
      </w:pPr>
    </w:p>
    <w:p w14:paraId="70AFFE4A" w14:textId="1CD61D0B" w:rsidR="00612190" w:rsidRPr="00612190" w:rsidRDefault="00612190" w:rsidP="00612190">
      <w:r w:rsidRPr="00612190">
        <w:t>The following activities are not included within the scope of this partnership agreement but could be considered under separate agreements, if needed:</w:t>
      </w:r>
    </w:p>
    <w:p w14:paraId="2F653AD5" w14:textId="7806F70B" w:rsidR="00CD3CBD" w:rsidRPr="00612190" w:rsidRDefault="00612190" w:rsidP="00613FC4">
      <w:pPr>
        <w:pStyle w:val="ListParagraph"/>
        <w:numPr>
          <w:ilvl w:val="0"/>
          <w:numId w:val="44"/>
        </w:numPr>
        <w:tabs>
          <w:tab w:val="num" w:pos="720"/>
        </w:tabs>
      </w:pPr>
      <w:r w:rsidRPr="00612190">
        <w:t>Community</w:t>
      </w:r>
      <w:r w:rsidRPr="00612190">
        <w:noBreakHyphen/>
        <w:t>level or epidemiological trials (e.g. cluster randomised trials, large</w:t>
      </w:r>
      <w:r w:rsidRPr="00612190">
        <w:noBreakHyphen/>
        <w:t>scale community engagement activities, household surveys).</w:t>
      </w:r>
    </w:p>
    <w:p w14:paraId="34FAD6A9" w14:textId="77777777" w:rsidR="00FF3DD6" w:rsidRDefault="00FF3DD6" w:rsidP="00613FC4">
      <w:pPr>
        <w:tabs>
          <w:tab w:val="num" w:pos="720"/>
        </w:tabs>
      </w:pPr>
    </w:p>
    <w:p w14:paraId="694EDD9E" w14:textId="77777777" w:rsidR="00A5048F" w:rsidRDefault="00A5048F" w:rsidP="00001048">
      <w:pPr>
        <w:pStyle w:val="Heading1"/>
        <w:numPr>
          <w:ilvl w:val="0"/>
          <w:numId w:val="1"/>
        </w:numPr>
      </w:pPr>
      <w:bookmarkStart w:id="6" w:name="_Toc229579928"/>
      <w:r>
        <w:lastRenderedPageBreak/>
        <w:t>Instructions for applicants</w:t>
      </w:r>
      <w:bookmarkEnd w:id="6"/>
    </w:p>
    <w:p w14:paraId="49B8C9ED" w14:textId="77777777" w:rsidR="00DF236F" w:rsidRPr="00DF236F" w:rsidRDefault="00DF236F" w:rsidP="00DF236F"/>
    <w:p w14:paraId="0543717F" w14:textId="1E66D039" w:rsidR="003B014B" w:rsidRPr="00DF236F" w:rsidRDefault="003B014B" w:rsidP="00652A24">
      <w:pPr>
        <w:pStyle w:val="Heading2"/>
        <w:numPr>
          <w:ilvl w:val="1"/>
          <w:numId w:val="1"/>
        </w:numPr>
      </w:pPr>
      <w:r w:rsidRPr="00DF236F">
        <w:t>Timeline</w:t>
      </w:r>
    </w:p>
    <w:p w14:paraId="70920E44" w14:textId="49629F14" w:rsidR="00562E99" w:rsidRDefault="00562E99" w:rsidP="003B014B"/>
    <w:tbl>
      <w:tblPr>
        <w:tblStyle w:val="TableGrid"/>
        <w:tblW w:w="0" w:type="auto"/>
        <w:tblLook w:val="04A0" w:firstRow="1" w:lastRow="0" w:firstColumn="1" w:lastColumn="0" w:noHBand="0" w:noVBand="1"/>
      </w:tblPr>
      <w:tblGrid>
        <w:gridCol w:w="5524"/>
        <w:gridCol w:w="3492"/>
      </w:tblGrid>
      <w:tr w:rsidR="003B014B" w14:paraId="7E8E2B14" w14:textId="77777777" w:rsidTr="421F35FC">
        <w:tc>
          <w:tcPr>
            <w:tcW w:w="5524" w:type="dxa"/>
            <w:shd w:val="clear" w:color="auto" w:fill="156082" w:themeFill="accent1"/>
          </w:tcPr>
          <w:p w14:paraId="5FD9D78C" w14:textId="77777777" w:rsidR="003B014B" w:rsidRPr="00FE74A1" w:rsidRDefault="003B014B">
            <w:pPr>
              <w:jc w:val="center"/>
              <w:rPr>
                <w:b/>
                <w:bCs/>
                <w:color w:val="FFFFFF" w:themeColor="background1"/>
              </w:rPr>
            </w:pPr>
            <w:r w:rsidRPr="00FE74A1">
              <w:rPr>
                <w:b/>
                <w:bCs/>
                <w:color w:val="FFFFFF" w:themeColor="background1"/>
              </w:rPr>
              <w:t>Activity</w:t>
            </w:r>
          </w:p>
        </w:tc>
        <w:tc>
          <w:tcPr>
            <w:tcW w:w="3492" w:type="dxa"/>
            <w:shd w:val="clear" w:color="auto" w:fill="156082" w:themeFill="accent1"/>
          </w:tcPr>
          <w:p w14:paraId="432F098C" w14:textId="77777777" w:rsidR="003B014B" w:rsidRPr="00FE74A1" w:rsidRDefault="003B014B">
            <w:pPr>
              <w:jc w:val="center"/>
              <w:rPr>
                <w:b/>
                <w:bCs/>
                <w:color w:val="FFFFFF" w:themeColor="background1"/>
              </w:rPr>
            </w:pPr>
            <w:r w:rsidRPr="00FE74A1">
              <w:rPr>
                <w:b/>
                <w:bCs/>
                <w:color w:val="FFFFFF" w:themeColor="background1"/>
              </w:rPr>
              <w:t>Date</w:t>
            </w:r>
          </w:p>
        </w:tc>
      </w:tr>
      <w:tr w:rsidR="003B014B" w14:paraId="62BF02E1" w14:textId="77777777" w:rsidTr="421F35FC">
        <w:tc>
          <w:tcPr>
            <w:tcW w:w="5524" w:type="dxa"/>
          </w:tcPr>
          <w:p w14:paraId="2F179BB2" w14:textId="7F2A349D" w:rsidR="003B014B" w:rsidRDefault="00616664">
            <w:pPr>
              <w:jc w:val="center"/>
            </w:pPr>
            <w:r>
              <w:t>C</w:t>
            </w:r>
            <w:r w:rsidR="003B014B" w:rsidRPr="00865EDD">
              <w:t xml:space="preserve">all </w:t>
            </w:r>
            <w:r w:rsidR="003B014B">
              <w:t xml:space="preserve">for </w:t>
            </w:r>
            <w:r w:rsidR="003B014B" w:rsidRPr="00865EDD">
              <w:t xml:space="preserve">field </w:t>
            </w:r>
            <w:r w:rsidR="004F40DD">
              <w:t>research</w:t>
            </w:r>
            <w:r w:rsidR="003B014B">
              <w:t xml:space="preserve"> partners</w:t>
            </w:r>
            <w:r>
              <w:t xml:space="preserve"> published</w:t>
            </w:r>
          </w:p>
        </w:tc>
        <w:tc>
          <w:tcPr>
            <w:tcW w:w="3492" w:type="dxa"/>
          </w:tcPr>
          <w:p w14:paraId="37BCD834" w14:textId="6C64CDA0" w:rsidR="003B014B" w:rsidRDefault="155BC4FC">
            <w:pPr>
              <w:jc w:val="center"/>
            </w:pPr>
            <w:r>
              <w:t>18th May</w:t>
            </w:r>
            <w:r w:rsidR="003B014B">
              <w:t xml:space="preserve"> 2026</w:t>
            </w:r>
          </w:p>
        </w:tc>
      </w:tr>
      <w:tr w:rsidR="003B014B" w14:paraId="12A3CD4D" w14:textId="77777777" w:rsidTr="421F35FC">
        <w:tc>
          <w:tcPr>
            <w:tcW w:w="5524" w:type="dxa"/>
          </w:tcPr>
          <w:p w14:paraId="54DE5039" w14:textId="0BD269ED" w:rsidR="003B014B" w:rsidRDefault="003B014B">
            <w:pPr>
              <w:tabs>
                <w:tab w:val="left" w:pos="1260"/>
              </w:tabs>
              <w:jc w:val="center"/>
            </w:pPr>
            <w:r>
              <w:t xml:space="preserve">Applicant Q&amp;A </w:t>
            </w:r>
            <w:r w:rsidR="3BD27B93">
              <w:t>meeting</w:t>
            </w:r>
            <w:r w:rsidR="49256D15">
              <w:t xml:space="preserve"> </w:t>
            </w:r>
            <w:r>
              <w:t>(online)</w:t>
            </w:r>
          </w:p>
        </w:tc>
        <w:tc>
          <w:tcPr>
            <w:tcW w:w="3492" w:type="dxa"/>
          </w:tcPr>
          <w:p w14:paraId="6FB8766B" w14:textId="207F746E" w:rsidR="003B014B" w:rsidRDefault="2DAC01E8">
            <w:pPr>
              <w:jc w:val="center"/>
            </w:pPr>
            <w:r>
              <w:t>26</w:t>
            </w:r>
            <w:r w:rsidR="004A279C" w:rsidRPr="0C6FA4A7">
              <w:rPr>
                <w:vertAlign w:val="superscript"/>
              </w:rPr>
              <w:t>th</w:t>
            </w:r>
            <w:r w:rsidR="004A279C">
              <w:t xml:space="preserve"> May</w:t>
            </w:r>
            <w:r w:rsidR="003B014B">
              <w:t xml:space="preserve"> 2026</w:t>
            </w:r>
          </w:p>
        </w:tc>
      </w:tr>
      <w:tr w:rsidR="003B014B" w14:paraId="796C9335" w14:textId="77777777" w:rsidTr="421F35FC">
        <w:tc>
          <w:tcPr>
            <w:tcW w:w="5524" w:type="dxa"/>
          </w:tcPr>
          <w:p w14:paraId="28356193" w14:textId="77777777" w:rsidR="003B014B" w:rsidRPr="00077B31" w:rsidRDefault="003B014B">
            <w:pPr>
              <w:jc w:val="center"/>
              <w:rPr>
                <w:b/>
                <w:bCs/>
              </w:rPr>
            </w:pPr>
            <w:r w:rsidRPr="00077B31">
              <w:rPr>
                <w:b/>
                <w:bCs/>
              </w:rPr>
              <w:t>Call submission deadline</w:t>
            </w:r>
          </w:p>
        </w:tc>
        <w:tc>
          <w:tcPr>
            <w:tcW w:w="3492" w:type="dxa"/>
          </w:tcPr>
          <w:p w14:paraId="22ED01D8" w14:textId="7C473412" w:rsidR="003B014B" w:rsidRPr="00077B31" w:rsidRDefault="454DC147">
            <w:pPr>
              <w:jc w:val="center"/>
              <w:rPr>
                <w:b/>
                <w:bCs/>
              </w:rPr>
            </w:pPr>
            <w:r w:rsidRPr="0C6FA4A7">
              <w:rPr>
                <w:b/>
                <w:bCs/>
              </w:rPr>
              <w:t>29</w:t>
            </w:r>
            <w:r w:rsidR="004A279C" w:rsidRPr="0C6FA4A7">
              <w:rPr>
                <w:b/>
                <w:bCs/>
                <w:vertAlign w:val="superscript"/>
              </w:rPr>
              <w:t>th</w:t>
            </w:r>
            <w:r w:rsidR="004A279C" w:rsidRPr="0C6FA4A7">
              <w:rPr>
                <w:b/>
                <w:bCs/>
              </w:rPr>
              <w:t xml:space="preserve"> June</w:t>
            </w:r>
            <w:r w:rsidR="003B014B" w:rsidRPr="0C6FA4A7">
              <w:rPr>
                <w:b/>
                <w:bCs/>
              </w:rPr>
              <w:t xml:space="preserve"> 2026</w:t>
            </w:r>
          </w:p>
        </w:tc>
      </w:tr>
      <w:tr w:rsidR="003B014B" w14:paraId="71BBD834" w14:textId="77777777" w:rsidTr="421F35FC">
        <w:tc>
          <w:tcPr>
            <w:tcW w:w="5524" w:type="dxa"/>
          </w:tcPr>
          <w:p w14:paraId="55584CFE" w14:textId="4CC6B418" w:rsidR="003B014B" w:rsidRPr="00E61216" w:rsidRDefault="002C21CF">
            <w:pPr>
              <w:jc w:val="center"/>
            </w:pPr>
            <w:r>
              <w:t>Shortlisting &amp; follow up</w:t>
            </w:r>
          </w:p>
        </w:tc>
        <w:tc>
          <w:tcPr>
            <w:tcW w:w="3492" w:type="dxa"/>
          </w:tcPr>
          <w:p w14:paraId="378E861D" w14:textId="1310918E" w:rsidR="003B014B" w:rsidRDefault="697DCAC4">
            <w:pPr>
              <w:jc w:val="center"/>
            </w:pPr>
            <w:r>
              <w:t>6th</w:t>
            </w:r>
            <w:r w:rsidR="079FCD66">
              <w:t xml:space="preserve"> – </w:t>
            </w:r>
            <w:r>
              <w:t>17</w:t>
            </w:r>
            <w:r w:rsidRPr="0C6FA4A7">
              <w:rPr>
                <w:vertAlign w:val="superscript"/>
              </w:rPr>
              <w:t>th</w:t>
            </w:r>
            <w:r w:rsidR="003B014B">
              <w:t xml:space="preserve"> </w:t>
            </w:r>
            <w:r w:rsidR="079FCD66">
              <w:t xml:space="preserve">July </w:t>
            </w:r>
            <w:r w:rsidR="003B014B">
              <w:t>2026</w:t>
            </w:r>
            <w:r w:rsidR="00EA6DD9">
              <w:t>*</w:t>
            </w:r>
          </w:p>
        </w:tc>
      </w:tr>
      <w:tr w:rsidR="003B014B" w14:paraId="5DC8573E" w14:textId="77777777" w:rsidTr="421F35FC">
        <w:tc>
          <w:tcPr>
            <w:tcW w:w="5524" w:type="dxa"/>
          </w:tcPr>
          <w:p w14:paraId="4E6242A5" w14:textId="77777777" w:rsidR="003B014B" w:rsidRDefault="003B014B">
            <w:pPr>
              <w:jc w:val="center"/>
            </w:pPr>
            <w:r>
              <w:t>Contact award (envisaged)</w:t>
            </w:r>
          </w:p>
        </w:tc>
        <w:tc>
          <w:tcPr>
            <w:tcW w:w="3492" w:type="dxa"/>
          </w:tcPr>
          <w:p w14:paraId="2AA3823E" w14:textId="5F4589D9" w:rsidR="003B014B" w:rsidRDefault="13A20DA3">
            <w:pPr>
              <w:jc w:val="center"/>
            </w:pPr>
            <w:r>
              <w:t xml:space="preserve">July </w:t>
            </w:r>
            <w:r w:rsidR="003B014B">
              <w:t>2026</w:t>
            </w:r>
          </w:p>
        </w:tc>
      </w:tr>
      <w:tr w:rsidR="003B014B" w14:paraId="1E24F828" w14:textId="77777777" w:rsidTr="421F35FC">
        <w:tc>
          <w:tcPr>
            <w:tcW w:w="5524" w:type="dxa"/>
          </w:tcPr>
          <w:p w14:paraId="69C7D3BE" w14:textId="77777777" w:rsidR="003B014B" w:rsidRDefault="003B014B">
            <w:pPr>
              <w:jc w:val="center"/>
            </w:pPr>
            <w:r>
              <w:t>Contract mobilisation (envisaged)</w:t>
            </w:r>
          </w:p>
        </w:tc>
        <w:tc>
          <w:tcPr>
            <w:tcW w:w="3492" w:type="dxa"/>
          </w:tcPr>
          <w:p w14:paraId="32130148" w14:textId="77777777" w:rsidR="003B014B" w:rsidRDefault="003B014B">
            <w:pPr>
              <w:jc w:val="center"/>
            </w:pPr>
            <w:r>
              <w:t>July – December 2026</w:t>
            </w:r>
          </w:p>
        </w:tc>
      </w:tr>
    </w:tbl>
    <w:p w14:paraId="68721BBA" w14:textId="77777777" w:rsidR="002C21CF" w:rsidRDefault="002C21CF" w:rsidP="003B014B">
      <w:pPr>
        <w:rPr>
          <w:i/>
          <w:iCs/>
          <w:sz w:val="18"/>
          <w:szCs w:val="18"/>
        </w:rPr>
      </w:pPr>
    </w:p>
    <w:p w14:paraId="1EBDBDA7" w14:textId="199B941E" w:rsidR="002F1CB3" w:rsidRDefault="00EA6DD9" w:rsidP="002F1CB3">
      <w:r>
        <w:t xml:space="preserve">* </w:t>
      </w:r>
      <w:r w:rsidRPr="00B32D7B">
        <w:t xml:space="preserve">If shortlisted, </w:t>
      </w:r>
      <w:r w:rsidR="00F14194">
        <w:t>IVCC</w:t>
      </w:r>
      <w:r w:rsidRPr="00B32D7B">
        <w:t xml:space="preserve"> may contact you for a short interview or to ask a few follow-up questions by email.</w:t>
      </w:r>
    </w:p>
    <w:p w14:paraId="1EF71232" w14:textId="77777777" w:rsidR="002C21CF" w:rsidRDefault="002C21CF" w:rsidP="003B014B">
      <w:pPr>
        <w:rPr>
          <w:i/>
          <w:iCs/>
          <w:sz w:val="18"/>
          <w:szCs w:val="18"/>
        </w:rPr>
      </w:pPr>
    </w:p>
    <w:p w14:paraId="57F24284" w14:textId="77777777" w:rsidR="00BE0294" w:rsidRDefault="00BE0294" w:rsidP="00652A24">
      <w:pPr>
        <w:pStyle w:val="Heading2"/>
        <w:numPr>
          <w:ilvl w:val="1"/>
          <w:numId w:val="1"/>
        </w:numPr>
      </w:pPr>
      <w:r>
        <w:t>How to apply</w:t>
      </w:r>
    </w:p>
    <w:p w14:paraId="0882E08F" w14:textId="2AACC337" w:rsidR="00B96B7B" w:rsidRPr="00FF6F56" w:rsidRDefault="00B96B7B" w:rsidP="00204565"/>
    <w:p w14:paraId="7F282D51" w14:textId="1C2CD6E3" w:rsidR="00A847BB" w:rsidRPr="00FF6F56" w:rsidRDefault="00A847BB" w:rsidP="002B501C">
      <w:pPr>
        <w:pStyle w:val="ListParagraph"/>
        <w:numPr>
          <w:ilvl w:val="0"/>
          <w:numId w:val="23"/>
        </w:numPr>
      </w:pPr>
      <w:r w:rsidRPr="00FF6F56">
        <w:t>Complete the call questionnaire</w:t>
      </w:r>
      <w:r w:rsidR="00C91A49">
        <w:t xml:space="preserve"> </w:t>
      </w:r>
      <w:r w:rsidRPr="00FF6F56">
        <w:t>in full.</w:t>
      </w:r>
    </w:p>
    <w:p w14:paraId="78CD94A1" w14:textId="071A9A79" w:rsidR="00FF6F56" w:rsidRPr="00FF6F56" w:rsidRDefault="00A847BB" w:rsidP="00A847BB">
      <w:pPr>
        <w:pStyle w:val="ListParagraph"/>
        <w:numPr>
          <w:ilvl w:val="0"/>
          <w:numId w:val="23"/>
        </w:numPr>
      </w:pPr>
      <w:r w:rsidRPr="00FF6F56">
        <w:t xml:space="preserve">Return the completed questionnaire to </w:t>
      </w:r>
      <w:r w:rsidR="006A1D80" w:rsidRPr="00FF6F56">
        <w:t>IVCC</w:t>
      </w:r>
      <w:r w:rsidR="00F45CA4" w:rsidRPr="00FF6F56">
        <w:t>’s</w:t>
      </w:r>
      <w:r w:rsidR="006A1D80" w:rsidRPr="00FF6F56">
        <w:t xml:space="preserve"> Technical Services Manager</w:t>
      </w:r>
      <w:r w:rsidR="00F45CA4" w:rsidRPr="00FF6F56">
        <w:t xml:space="preserve">, Natalie Lissenden </w:t>
      </w:r>
      <w:r w:rsidR="007C73C2">
        <w:t>using this</w:t>
      </w:r>
      <w:r w:rsidRPr="00FF6F56">
        <w:t xml:space="preserve"> email address: </w:t>
      </w:r>
      <w:hyperlink r:id="rId14" w:history="1">
        <w:r w:rsidR="00FF6F56" w:rsidRPr="00FF6F56">
          <w:rPr>
            <w:rStyle w:val="Hyperlink"/>
          </w:rPr>
          <w:t>info@ivcc.com</w:t>
        </w:r>
      </w:hyperlink>
      <w:r w:rsidR="00F45CA4" w:rsidRPr="00FF6F56">
        <w:t>.</w:t>
      </w:r>
    </w:p>
    <w:p w14:paraId="0D4987F0" w14:textId="72AD19A9" w:rsidR="00DD4A60" w:rsidRPr="00FF6F56" w:rsidRDefault="00BB67E8" w:rsidP="00A847BB">
      <w:pPr>
        <w:pStyle w:val="ListParagraph"/>
        <w:numPr>
          <w:ilvl w:val="0"/>
          <w:numId w:val="23"/>
        </w:numPr>
      </w:pPr>
      <w:r w:rsidRPr="00FF6F56">
        <w:t xml:space="preserve">Please </w:t>
      </w:r>
      <w:r w:rsidR="00FF6F56" w:rsidRPr="00FF6F56">
        <w:t>ensure your email includes the</w:t>
      </w:r>
      <w:r w:rsidRPr="00FF6F56">
        <w:t xml:space="preserve"> subject line “</w:t>
      </w:r>
      <w:r w:rsidR="00EC6DF8" w:rsidRPr="00FF6F56">
        <w:t xml:space="preserve">Call for Partners: Field </w:t>
      </w:r>
      <w:r w:rsidR="00CD3CBD">
        <w:t>Research</w:t>
      </w:r>
      <w:r w:rsidRPr="00FF6F56">
        <w:t>”</w:t>
      </w:r>
      <w:r w:rsidR="00EC6DF8" w:rsidRPr="00FF6F56">
        <w:t>, or your application may be missed.</w:t>
      </w:r>
    </w:p>
    <w:p w14:paraId="4F0A94FC" w14:textId="77777777" w:rsidR="00FF6F56" w:rsidRDefault="00FF6F56" w:rsidP="00FF6F56">
      <w:pPr>
        <w:pStyle w:val="ListParagraph"/>
        <w:ind w:left="360"/>
      </w:pPr>
    </w:p>
    <w:p w14:paraId="5CA74967" w14:textId="77777777" w:rsidR="00FF6F56" w:rsidRDefault="00FF6F56" w:rsidP="00FF6F56">
      <w:pPr>
        <w:pStyle w:val="ListParagraph"/>
        <w:ind w:left="431"/>
        <w:rPr>
          <w:b/>
          <w:bCs/>
        </w:rPr>
      </w:pPr>
    </w:p>
    <w:p w14:paraId="18B7DF0B" w14:textId="77777777" w:rsidR="00FF6F56" w:rsidRPr="006A21B7" w:rsidRDefault="00FF6F56" w:rsidP="00652A24">
      <w:pPr>
        <w:pStyle w:val="Heading2"/>
        <w:numPr>
          <w:ilvl w:val="1"/>
          <w:numId w:val="1"/>
        </w:numPr>
      </w:pPr>
      <w:r w:rsidRPr="006A21B7">
        <w:t>Application requirements</w:t>
      </w:r>
    </w:p>
    <w:p w14:paraId="4D5F684F" w14:textId="77777777" w:rsidR="00FF6F56" w:rsidRDefault="00FF6F56" w:rsidP="007C73C2"/>
    <w:p w14:paraId="11C8DD32" w14:textId="33EDFA4D" w:rsidR="002B501C" w:rsidRPr="002B501C" w:rsidRDefault="00CE15BC" w:rsidP="002B501C">
      <w:pPr>
        <w:pStyle w:val="ListParagraph"/>
        <w:numPr>
          <w:ilvl w:val="0"/>
          <w:numId w:val="23"/>
        </w:numPr>
      </w:pPr>
      <w:r w:rsidRPr="00263692">
        <w:t xml:space="preserve">All applications must be submitted </w:t>
      </w:r>
      <w:r w:rsidR="00263692" w:rsidRPr="00263692">
        <w:t xml:space="preserve">by </w:t>
      </w:r>
      <w:r w:rsidR="00BB35C3" w:rsidRPr="002B501C">
        <w:rPr>
          <w:b/>
          <w:bCs/>
        </w:rPr>
        <w:t xml:space="preserve">23:59 GMT, </w:t>
      </w:r>
      <w:r w:rsidR="00263692" w:rsidRPr="002B501C">
        <w:rPr>
          <w:b/>
          <w:bCs/>
        </w:rPr>
        <w:t xml:space="preserve">Friday </w:t>
      </w:r>
      <w:r w:rsidR="00665ADD">
        <w:rPr>
          <w:b/>
          <w:bCs/>
        </w:rPr>
        <w:t>29</w:t>
      </w:r>
      <w:r w:rsidR="00841378" w:rsidRPr="00841378">
        <w:rPr>
          <w:b/>
          <w:bCs/>
          <w:vertAlign w:val="superscript"/>
        </w:rPr>
        <w:t>th</w:t>
      </w:r>
      <w:r w:rsidR="00841378">
        <w:rPr>
          <w:b/>
          <w:bCs/>
        </w:rPr>
        <w:t xml:space="preserve"> June</w:t>
      </w:r>
      <w:r w:rsidR="00263692" w:rsidRPr="002B501C">
        <w:rPr>
          <w:b/>
          <w:bCs/>
        </w:rPr>
        <w:t xml:space="preserve"> 2026.</w:t>
      </w:r>
    </w:p>
    <w:p w14:paraId="66C13299" w14:textId="77777777" w:rsidR="002B501C" w:rsidRDefault="0092292C" w:rsidP="002B501C">
      <w:pPr>
        <w:pStyle w:val="ListParagraph"/>
        <w:numPr>
          <w:ilvl w:val="0"/>
          <w:numId w:val="23"/>
        </w:numPr>
      </w:pPr>
      <w:r>
        <w:t>Late applications will not be accepted.</w:t>
      </w:r>
    </w:p>
    <w:p w14:paraId="7DE23A4B" w14:textId="77777777" w:rsidR="002B501C" w:rsidRDefault="00A0239D" w:rsidP="002B501C">
      <w:pPr>
        <w:pStyle w:val="ListParagraph"/>
        <w:numPr>
          <w:ilvl w:val="0"/>
          <w:numId w:val="23"/>
        </w:numPr>
      </w:pPr>
      <w:r>
        <w:t xml:space="preserve">IVCC </w:t>
      </w:r>
      <w:r w:rsidRPr="00A0239D">
        <w:t xml:space="preserve">may, in its absolute discretion, extend the deadline, and in such circumstances, </w:t>
      </w:r>
      <w:r>
        <w:t>IVCC</w:t>
      </w:r>
      <w:r w:rsidRPr="00A0239D">
        <w:t xml:space="preserve"> will notify all </w:t>
      </w:r>
      <w:r>
        <w:t>applicants</w:t>
      </w:r>
      <w:r w:rsidRPr="00A0239D">
        <w:t xml:space="preserve"> of any change by the fastest means possible</w:t>
      </w:r>
      <w:r w:rsidR="002B501C">
        <w:t>.</w:t>
      </w:r>
    </w:p>
    <w:p w14:paraId="247CD959" w14:textId="607EF637" w:rsidR="002B501C" w:rsidRDefault="00B708E9" w:rsidP="002B501C">
      <w:pPr>
        <w:pStyle w:val="ListParagraph"/>
        <w:numPr>
          <w:ilvl w:val="0"/>
          <w:numId w:val="23"/>
        </w:numPr>
      </w:pPr>
      <w:r>
        <w:t xml:space="preserve">Applicants must adhere to the format of the </w:t>
      </w:r>
      <w:r w:rsidR="006671ED">
        <w:t>c</w:t>
      </w:r>
      <w:r>
        <w:t xml:space="preserve">all </w:t>
      </w:r>
      <w:r w:rsidR="00064525">
        <w:t>q</w:t>
      </w:r>
      <w:r>
        <w:t xml:space="preserve">uestionnaire. Please answer all questions as accurately and concisely as possible. </w:t>
      </w:r>
    </w:p>
    <w:p w14:paraId="2B5EA056" w14:textId="0C6C45A9" w:rsidR="002B501C" w:rsidRDefault="00665ADD" w:rsidP="002B501C">
      <w:pPr>
        <w:pStyle w:val="ListParagraph"/>
        <w:numPr>
          <w:ilvl w:val="0"/>
          <w:numId w:val="23"/>
        </w:numPr>
      </w:pPr>
      <w:r>
        <w:t>A</w:t>
      </w:r>
      <w:r w:rsidR="00732EB8" w:rsidRPr="00732EB8">
        <w:t xml:space="preserve">ll </w:t>
      </w:r>
      <w:r w:rsidR="00732EB8">
        <w:t>applications</w:t>
      </w:r>
      <w:r w:rsidR="00732EB8" w:rsidRPr="00732EB8">
        <w:t xml:space="preserve"> should be returned in English</w:t>
      </w:r>
      <w:r w:rsidR="00732EB8">
        <w:t>.</w:t>
      </w:r>
    </w:p>
    <w:p w14:paraId="4A9559D1" w14:textId="134F496F" w:rsidR="002B501C" w:rsidRDefault="00EB6ABD" w:rsidP="008840D4">
      <w:pPr>
        <w:pStyle w:val="ListParagraph"/>
        <w:numPr>
          <w:ilvl w:val="0"/>
          <w:numId w:val="23"/>
        </w:numPr>
      </w:pPr>
      <w:r w:rsidRPr="00EB6ABD">
        <w:t>The applicant must include a detailed budget</w:t>
      </w:r>
      <w:r w:rsidR="00926C4A">
        <w:t xml:space="preserve"> using the provided template</w:t>
      </w:r>
      <w:r w:rsidRPr="00EB6ABD">
        <w:t>. All figures must be quoted in US dollars</w:t>
      </w:r>
      <w:r w:rsidR="00665ADD">
        <w:t xml:space="preserve"> ($)</w:t>
      </w:r>
      <w:r w:rsidRPr="00EB6ABD">
        <w:t>, and overheads must not exceed 15%</w:t>
      </w:r>
      <w:r w:rsidR="00107BF2">
        <w:t xml:space="preserve"> of direct </w:t>
      </w:r>
      <w:r w:rsidR="00FE7364">
        <w:t>costs</w:t>
      </w:r>
      <w:r w:rsidRPr="00EB6ABD">
        <w:t>.</w:t>
      </w:r>
    </w:p>
    <w:p w14:paraId="69C1828E" w14:textId="77777777" w:rsidR="002B501C" w:rsidRDefault="008A422F" w:rsidP="002B501C">
      <w:pPr>
        <w:pStyle w:val="ListParagraph"/>
        <w:numPr>
          <w:ilvl w:val="0"/>
          <w:numId w:val="23"/>
        </w:numPr>
      </w:pPr>
      <w:r w:rsidRPr="008A422F">
        <w:t xml:space="preserve">The applicant is responsible for making sure they have all the information they need to prepare their </w:t>
      </w:r>
      <w:r>
        <w:t>application,</w:t>
      </w:r>
      <w:r w:rsidRPr="008A422F">
        <w:t xml:space="preserve"> and that they understand the terms used in these documents. The applicant must also make sure they fully understand the work and responsibilities they will be taking on if their </w:t>
      </w:r>
      <w:r w:rsidR="008033C8">
        <w:t>application</w:t>
      </w:r>
      <w:r w:rsidRPr="008A422F">
        <w:t xml:space="preserve"> is successful.</w:t>
      </w:r>
    </w:p>
    <w:p w14:paraId="4F09CAA9" w14:textId="77777777" w:rsidR="00DF39BF" w:rsidRDefault="00DF39BF" w:rsidP="00DF39BF">
      <w:pPr>
        <w:pStyle w:val="ListParagraph"/>
        <w:ind w:left="360"/>
      </w:pPr>
    </w:p>
    <w:p w14:paraId="53D72A03" w14:textId="6A947D1D" w:rsidR="00FF3DD6" w:rsidRDefault="00E73727" w:rsidP="00FF3DD6">
      <w:pPr>
        <w:pStyle w:val="Heading1"/>
        <w:numPr>
          <w:ilvl w:val="0"/>
          <w:numId w:val="1"/>
        </w:numPr>
      </w:pPr>
      <w:bookmarkStart w:id="7" w:name="_Toc229579929"/>
      <w:r>
        <w:t>Selection</w:t>
      </w:r>
      <w:r w:rsidR="00643E92" w:rsidRPr="009047CE">
        <w:t xml:space="preserve"> </w:t>
      </w:r>
      <w:r w:rsidR="00C72FC9" w:rsidRPr="009047CE">
        <w:t>criteria</w:t>
      </w:r>
      <w:bookmarkEnd w:id="7"/>
    </w:p>
    <w:p w14:paraId="3811E777" w14:textId="77777777" w:rsidR="009047CE" w:rsidRPr="009047CE" w:rsidRDefault="009047CE" w:rsidP="009047CE"/>
    <w:p w14:paraId="6DE92865" w14:textId="77777777" w:rsidR="00AC3533" w:rsidRDefault="006948C1" w:rsidP="00C64144">
      <w:pPr>
        <w:pStyle w:val="ListParagraph"/>
        <w:numPr>
          <w:ilvl w:val="0"/>
          <w:numId w:val="27"/>
        </w:numPr>
      </w:pPr>
      <w:r>
        <w:t>The call for partners process will be managed by the IVCC technical services manager, under the supervision of the IVCC leadership team.</w:t>
      </w:r>
    </w:p>
    <w:p w14:paraId="558C57AE" w14:textId="46857856" w:rsidR="003D3F15" w:rsidRDefault="00715D1E" w:rsidP="00C64144">
      <w:pPr>
        <w:pStyle w:val="ListParagraph"/>
        <w:numPr>
          <w:ilvl w:val="0"/>
          <w:numId w:val="27"/>
        </w:numPr>
      </w:pPr>
      <w:r>
        <w:t xml:space="preserve">Each application will be reviewed by </w:t>
      </w:r>
      <w:r w:rsidR="00477901">
        <w:t xml:space="preserve">members of </w:t>
      </w:r>
      <w:r>
        <w:t>IVCC team</w:t>
      </w:r>
      <w:r w:rsidR="00477901">
        <w:t xml:space="preserve"> </w:t>
      </w:r>
      <w:r>
        <w:t xml:space="preserve">who will prepare a summary </w:t>
      </w:r>
      <w:r w:rsidR="00AC3533">
        <w:t xml:space="preserve">for review by the call </w:t>
      </w:r>
      <w:r w:rsidR="005B6414">
        <w:t>review panel.</w:t>
      </w:r>
    </w:p>
    <w:p w14:paraId="486A3920" w14:textId="003EAEBD" w:rsidR="005B6414" w:rsidRDefault="005B6414" w:rsidP="005B6414">
      <w:pPr>
        <w:pStyle w:val="ListParagraph"/>
        <w:numPr>
          <w:ilvl w:val="0"/>
          <w:numId w:val="27"/>
        </w:numPr>
      </w:pPr>
      <w:r>
        <w:t>The call review panel will be composed of selected members of the IVCC</w:t>
      </w:r>
      <w:r w:rsidR="00EB5B45">
        <w:t xml:space="preserve"> </w:t>
      </w:r>
      <w:r w:rsidR="004E5004">
        <w:t xml:space="preserve">team, </w:t>
      </w:r>
      <w:r w:rsidR="00F0390C">
        <w:t xml:space="preserve">IVCC </w:t>
      </w:r>
      <w:r w:rsidR="00600DA9" w:rsidRPr="00600DA9">
        <w:t>External Scientific Advisory Committee (ESAC)</w:t>
      </w:r>
      <w:r w:rsidR="00D933F6">
        <w:t>, and external experts.</w:t>
      </w:r>
      <w:r w:rsidR="00EB5B45">
        <w:t xml:space="preserve"> </w:t>
      </w:r>
      <w:r w:rsidR="00A2018B">
        <w:t xml:space="preserve">Panel selection will consider conflicts of Interest. </w:t>
      </w:r>
      <w:r w:rsidR="00D933F6">
        <w:t xml:space="preserve">The </w:t>
      </w:r>
      <w:r w:rsidR="00A27F15">
        <w:t xml:space="preserve">review </w:t>
      </w:r>
      <w:r w:rsidR="00D933F6">
        <w:t>panel will</w:t>
      </w:r>
      <w:r w:rsidR="00F0390C">
        <w:t xml:space="preserve"> </w:t>
      </w:r>
      <w:r w:rsidR="00E83A2D">
        <w:t>aspire to be gender</w:t>
      </w:r>
      <w:r w:rsidR="00583ABB">
        <w:t xml:space="preserve"> diverse.</w:t>
      </w:r>
    </w:p>
    <w:p w14:paraId="1B3FF608" w14:textId="2A5C9A74" w:rsidR="00B1472B" w:rsidRDefault="0077761B" w:rsidP="003E6CEA">
      <w:pPr>
        <w:pStyle w:val="ListParagraph"/>
        <w:numPr>
          <w:ilvl w:val="0"/>
          <w:numId w:val="27"/>
        </w:numPr>
      </w:pPr>
      <w:r w:rsidRPr="0077761B">
        <w:t>Applications will be assessed against the criteria set out below.</w:t>
      </w:r>
      <w:r w:rsidR="00DD1A46">
        <w:t xml:space="preserve"> </w:t>
      </w:r>
      <w:r w:rsidRPr="0077761B">
        <w:t>These criteria are intended to help IVCC identify partners with the strongest overall fit for the</w:t>
      </w:r>
      <w:r w:rsidR="0085188B">
        <w:t xml:space="preserve"> programme of work</w:t>
      </w:r>
      <w:r w:rsidR="003E6CEA">
        <w:t xml:space="preserve">. </w:t>
      </w:r>
      <w:r w:rsidR="002D7509" w:rsidRPr="002D7509">
        <w:t>Applications should demonstrate sufficient strength across all criteria</w:t>
      </w:r>
      <w:r w:rsidR="003E6CEA">
        <w:t>.</w:t>
      </w:r>
    </w:p>
    <w:p w14:paraId="17C77325" w14:textId="5BEE2D28" w:rsidR="00D27DD2" w:rsidRDefault="00D27DD2" w:rsidP="003E6CEA">
      <w:pPr>
        <w:pStyle w:val="ListParagraph"/>
        <w:numPr>
          <w:ilvl w:val="0"/>
          <w:numId w:val="27"/>
        </w:numPr>
      </w:pPr>
      <w:r w:rsidRPr="00D27DD2">
        <w:t>The criteria and weightings will guide IVCC’s review of applications, but selection will also take account of the overall strength, complementarity, and strategic fit of each proposal in relation to the needs of the programme</w:t>
      </w:r>
      <w:r w:rsidR="00750B91">
        <w:t>.</w:t>
      </w:r>
    </w:p>
    <w:p w14:paraId="7150CCB2" w14:textId="3D9E2CC8" w:rsidR="00C6525E" w:rsidRDefault="00C6525E" w:rsidP="00584C28">
      <w:pPr>
        <w:pStyle w:val="ListParagraph"/>
        <w:numPr>
          <w:ilvl w:val="0"/>
          <w:numId w:val="27"/>
        </w:numPr>
      </w:pPr>
      <w:r w:rsidRPr="003E6CEA">
        <w:t xml:space="preserve">Scores against the criteria may be refined following </w:t>
      </w:r>
      <w:r w:rsidR="00584C28">
        <w:t>shortlisting &amp; follow up</w:t>
      </w:r>
      <w:r w:rsidR="0085188B">
        <w:t>.</w:t>
      </w:r>
    </w:p>
    <w:p w14:paraId="18D14156" w14:textId="77777777" w:rsidR="009047CE" w:rsidRDefault="009047CE" w:rsidP="009047CE">
      <w:pPr>
        <w:pStyle w:val="ListParagraph"/>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628"/>
      </w:tblGrid>
      <w:tr w:rsidR="00584C28" w:rsidRPr="004A3495" w14:paraId="09C58453" w14:textId="77777777" w:rsidTr="00284B6F">
        <w:tc>
          <w:tcPr>
            <w:tcW w:w="2525" w:type="pct"/>
            <w:tcBorders>
              <w:top w:val="single" w:sz="4" w:space="0" w:color="auto"/>
              <w:left w:val="single" w:sz="4" w:space="0" w:color="auto"/>
              <w:bottom w:val="single" w:sz="4" w:space="0" w:color="auto"/>
              <w:right w:val="single" w:sz="4" w:space="0" w:color="auto"/>
            </w:tcBorders>
            <w:shd w:val="clear" w:color="auto" w:fill="0E2841" w:themeFill="text2"/>
            <w:vAlign w:val="center"/>
          </w:tcPr>
          <w:p w14:paraId="0C300750" w14:textId="79104541" w:rsidR="00584C28" w:rsidRPr="00284B6F" w:rsidRDefault="00584C28" w:rsidP="007668E7">
            <w:pPr>
              <w:jc w:val="center"/>
              <w:rPr>
                <w:b/>
                <w:color w:val="FFFFFF" w:themeColor="background1"/>
              </w:rPr>
            </w:pPr>
            <w:r w:rsidRPr="00284B6F">
              <w:rPr>
                <w:b/>
                <w:color w:val="FFFFFF" w:themeColor="background1"/>
              </w:rPr>
              <w:t>Criteria</w:t>
            </w:r>
          </w:p>
        </w:tc>
        <w:tc>
          <w:tcPr>
            <w:tcW w:w="2475" w:type="pct"/>
            <w:tcBorders>
              <w:top w:val="single" w:sz="4" w:space="0" w:color="auto"/>
              <w:left w:val="single" w:sz="4" w:space="0" w:color="auto"/>
              <w:bottom w:val="single" w:sz="4" w:space="0" w:color="auto"/>
              <w:right w:val="single" w:sz="4" w:space="0" w:color="auto"/>
            </w:tcBorders>
            <w:shd w:val="clear" w:color="auto" w:fill="0E2841" w:themeFill="text2"/>
            <w:vAlign w:val="center"/>
          </w:tcPr>
          <w:p w14:paraId="29953F96" w14:textId="29783622" w:rsidR="00584C28" w:rsidRPr="00284B6F" w:rsidRDefault="00584C28" w:rsidP="007668E7">
            <w:pPr>
              <w:jc w:val="center"/>
              <w:rPr>
                <w:b/>
                <w:color w:val="FFFFFF" w:themeColor="background1"/>
              </w:rPr>
            </w:pPr>
            <w:r w:rsidRPr="00284B6F">
              <w:rPr>
                <w:b/>
                <w:color w:val="FFFFFF" w:themeColor="background1"/>
              </w:rPr>
              <w:t>Relative importance Weighting</w:t>
            </w:r>
          </w:p>
        </w:tc>
      </w:tr>
      <w:tr w:rsidR="00584C28" w:rsidRPr="004A3495" w14:paraId="58DB60EF"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7972203E" w14:textId="63527138" w:rsidR="00584C28" w:rsidRPr="004A3495" w:rsidRDefault="00584C28" w:rsidP="007668E7">
            <w:pPr>
              <w:jc w:val="center"/>
            </w:pPr>
            <w:r w:rsidRPr="004A3495">
              <w:t>Technical capability</w:t>
            </w:r>
            <w:r>
              <w:t xml:space="preserve"> and resources</w:t>
            </w:r>
          </w:p>
        </w:tc>
        <w:tc>
          <w:tcPr>
            <w:tcW w:w="2475" w:type="pct"/>
            <w:tcBorders>
              <w:top w:val="single" w:sz="4" w:space="0" w:color="auto"/>
              <w:left w:val="single" w:sz="4" w:space="0" w:color="auto"/>
              <w:bottom w:val="single" w:sz="4" w:space="0" w:color="auto"/>
              <w:right w:val="single" w:sz="4" w:space="0" w:color="auto"/>
            </w:tcBorders>
            <w:vAlign w:val="center"/>
          </w:tcPr>
          <w:p w14:paraId="2A4BDE4A" w14:textId="089F3B82" w:rsidR="00584C28" w:rsidRPr="004A3495" w:rsidRDefault="00584C28" w:rsidP="007668E7">
            <w:pPr>
              <w:jc w:val="center"/>
            </w:pPr>
            <w:r>
              <w:t>High</w:t>
            </w:r>
          </w:p>
        </w:tc>
      </w:tr>
      <w:tr w:rsidR="00584C28" w:rsidRPr="004A3495" w14:paraId="1F8D7D6B"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73228976" w14:textId="3369BB6E" w:rsidR="00584C28" w:rsidRPr="004A3495" w:rsidRDefault="00584C28" w:rsidP="007668E7">
            <w:pPr>
              <w:jc w:val="center"/>
            </w:pPr>
            <w:r w:rsidRPr="004A3495">
              <w:rPr>
                <w:lang w:val="en-US"/>
              </w:rPr>
              <w:t>Partnership and communication</w:t>
            </w:r>
          </w:p>
        </w:tc>
        <w:tc>
          <w:tcPr>
            <w:tcW w:w="2475" w:type="pct"/>
            <w:tcBorders>
              <w:top w:val="single" w:sz="4" w:space="0" w:color="auto"/>
              <w:left w:val="single" w:sz="4" w:space="0" w:color="auto"/>
              <w:bottom w:val="single" w:sz="4" w:space="0" w:color="auto"/>
              <w:right w:val="single" w:sz="4" w:space="0" w:color="auto"/>
            </w:tcBorders>
            <w:vAlign w:val="center"/>
          </w:tcPr>
          <w:p w14:paraId="0F006F81" w14:textId="70640CED" w:rsidR="00584C28" w:rsidRPr="004A3495" w:rsidRDefault="00584C28" w:rsidP="007668E7">
            <w:pPr>
              <w:jc w:val="center"/>
            </w:pPr>
            <w:r>
              <w:t>High</w:t>
            </w:r>
          </w:p>
        </w:tc>
      </w:tr>
      <w:tr w:rsidR="00584C28" w:rsidRPr="004A3495" w14:paraId="6361BA64"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1211475E" w14:textId="675B2902" w:rsidR="00584C28" w:rsidRPr="004A3495" w:rsidRDefault="00584C28" w:rsidP="007668E7">
            <w:pPr>
              <w:jc w:val="center"/>
            </w:pPr>
            <w:r w:rsidRPr="00B67F0E">
              <w:t>Academic</w:t>
            </w:r>
            <w:r w:rsidRPr="004A3495">
              <w:t xml:space="preserve"> and industry connections</w:t>
            </w:r>
          </w:p>
        </w:tc>
        <w:tc>
          <w:tcPr>
            <w:tcW w:w="2475" w:type="pct"/>
            <w:tcBorders>
              <w:top w:val="single" w:sz="4" w:space="0" w:color="auto"/>
              <w:left w:val="single" w:sz="4" w:space="0" w:color="auto"/>
              <w:bottom w:val="single" w:sz="4" w:space="0" w:color="auto"/>
              <w:right w:val="single" w:sz="4" w:space="0" w:color="auto"/>
            </w:tcBorders>
            <w:vAlign w:val="center"/>
          </w:tcPr>
          <w:p w14:paraId="3BEB9E4A" w14:textId="5C7CEF09" w:rsidR="00584C28" w:rsidRPr="004A3495" w:rsidRDefault="00584C28" w:rsidP="007668E7">
            <w:pPr>
              <w:jc w:val="center"/>
            </w:pPr>
            <w:r>
              <w:t>Medium</w:t>
            </w:r>
          </w:p>
        </w:tc>
      </w:tr>
      <w:tr w:rsidR="00584C28" w:rsidRPr="004A3495" w14:paraId="2B2B5FCC"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37388CE2" w14:textId="7FE33B7D" w:rsidR="00584C28" w:rsidRPr="004A3495" w:rsidRDefault="00584C28" w:rsidP="007668E7">
            <w:pPr>
              <w:jc w:val="center"/>
              <w:rPr>
                <w:lang w:val="en-US"/>
              </w:rPr>
            </w:pPr>
            <w:r w:rsidRPr="097CBB42">
              <w:rPr>
                <w:lang w:val="en-US"/>
              </w:rPr>
              <w:t>Safeguarding</w:t>
            </w:r>
          </w:p>
        </w:tc>
        <w:tc>
          <w:tcPr>
            <w:tcW w:w="2475" w:type="pct"/>
            <w:tcBorders>
              <w:top w:val="single" w:sz="4" w:space="0" w:color="auto"/>
              <w:left w:val="single" w:sz="4" w:space="0" w:color="auto"/>
              <w:bottom w:val="single" w:sz="4" w:space="0" w:color="auto"/>
              <w:right w:val="single" w:sz="4" w:space="0" w:color="auto"/>
            </w:tcBorders>
            <w:vAlign w:val="center"/>
          </w:tcPr>
          <w:p w14:paraId="0F818BED" w14:textId="7A48325D" w:rsidR="00584C28" w:rsidRPr="004A3495" w:rsidRDefault="00584C28" w:rsidP="007668E7">
            <w:pPr>
              <w:jc w:val="center"/>
            </w:pPr>
            <w:r>
              <w:t>Medium</w:t>
            </w:r>
          </w:p>
        </w:tc>
      </w:tr>
      <w:tr w:rsidR="00584C28" w:rsidRPr="004A3495" w14:paraId="3F9FF64F"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28D235BC" w14:textId="3B7FFB2A" w:rsidR="00584C28" w:rsidRPr="097CBB42" w:rsidRDefault="00584C28" w:rsidP="007668E7">
            <w:pPr>
              <w:jc w:val="center"/>
              <w:rPr>
                <w:lang w:val="en-US"/>
              </w:rPr>
            </w:pPr>
            <w:r>
              <w:rPr>
                <w:lang w:val="en-US"/>
              </w:rPr>
              <w:t xml:space="preserve">Equity, Diversity </w:t>
            </w:r>
            <w:r w:rsidR="00F55745">
              <w:rPr>
                <w:lang w:val="en-US"/>
              </w:rPr>
              <w:t>and</w:t>
            </w:r>
            <w:r>
              <w:rPr>
                <w:lang w:val="en-US"/>
              </w:rPr>
              <w:t xml:space="preserve"> Inclusion</w:t>
            </w:r>
            <w:r w:rsidR="00F55745">
              <w:rPr>
                <w:lang w:val="en-US"/>
              </w:rPr>
              <w:t xml:space="preserve"> (ED&amp;I)</w:t>
            </w:r>
          </w:p>
        </w:tc>
        <w:tc>
          <w:tcPr>
            <w:tcW w:w="2475" w:type="pct"/>
            <w:tcBorders>
              <w:top w:val="single" w:sz="4" w:space="0" w:color="auto"/>
              <w:left w:val="single" w:sz="4" w:space="0" w:color="auto"/>
              <w:bottom w:val="single" w:sz="4" w:space="0" w:color="auto"/>
              <w:right w:val="single" w:sz="4" w:space="0" w:color="auto"/>
            </w:tcBorders>
            <w:vAlign w:val="center"/>
          </w:tcPr>
          <w:p w14:paraId="23642904" w14:textId="28420763" w:rsidR="00584C28" w:rsidRPr="004A3495" w:rsidRDefault="00584C28" w:rsidP="007668E7">
            <w:pPr>
              <w:jc w:val="center"/>
            </w:pPr>
            <w:r>
              <w:t>Medium</w:t>
            </w:r>
          </w:p>
        </w:tc>
      </w:tr>
      <w:tr w:rsidR="00584C28" w:rsidRPr="004A3495" w14:paraId="74CF9AA8" w14:textId="77777777" w:rsidTr="00E4035F">
        <w:tc>
          <w:tcPr>
            <w:tcW w:w="2525" w:type="pct"/>
            <w:tcBorders>
              <w:top w:val="single" w:sz="4" w:space="0" w:color="auto"/>
              <w:left w:val="single" w:sz="4" w:space="0" w:color="auto"/>
              <w:bottom w:val="single" w:sz="4" w:space="0" w:color="auto"/>
              <w:right w:val="single" w:sz="4" w:space="0" w:color="auto"/>
            </w:tcBorders>
            <w:vAlign w:val="center"/>
          </w:tcPr>
          <w:p w14:paraId="3A06E1C3" w14:textId="5D9095E0" w:rsidR="00584C28" w:rsidRPr="004A3495" w:rsidRDefault="00584C28" w:rsidP="007668E7">
            <w:pPr>
              <w:jc w:val="center"/>
            </w:pPr>
            <w:r w:rsidRPr="00B67F0E">
              <w:t>Budget</w:t>
            </w:r>
            <w:r>
              <w:t xml:space="preserve"> and value for money</w:t>
            </w:r>
          </w:p>
        </w:tc>
        <w:tc>
          <w:tcPr>
            <w:tcW w:w="2475" w:type="pct"/>
            <w:tcBorders>
              <w:top w:val="single" w:sz="4" w:space="0" w:color="auto"/>
              <w:left w:val="single" w:sz="4" w:space="0" w:color="auto"/>
              <w:bottom w:val="single" w:sz="4" w:space="0" w:color="auto"/>
              <w:right w:val="single" w:sz="4" w:space="0" w:color="auto"/>
            </w:tcBorders>
            <w:vAlign w:val="center"/>
          </w:tcPr>
          <w:p w14:paraId="350FC8B6" w14:textId="3EC11DF6" w:rsidR="00584C28" w:rsidRPr="004A3495" w:rsidRDefault="00584C28" w:rsidP="007668E7">
            <w:pPr>
              <w:jc w:val="center"/>
            </w:pPr>
            <w:r>
              <w:t>Important for overall assessment</w:t>
            </w:r>
          </w:p>
        </w:tc>
      </w:tr>
    </w:tbl>
    <w:p w14:paraId="40570EA3" w14:textId="77777777" w:rsidR="00FF3DD6" w:rsidRDefault="00FF3DD6" w:rsidP="00C6525E"/>
    <w:p w14:paraId="17B501ED" w14:textId="0EC6D824" w:rsidR="002F1CB3" w:rsidRPr="002F1CB3" w:rsidRDefault="00816B4D" w:rsidP="002F1CB3">
      <w:pPr>
        <w:pStyle w:val="Heading1"/>
        <w:numPr>
          <w:ilvl w:val="0"/>
          <w:numId w:val="1"/>
        </w:numPr>
      </w:pPr>
      <w:bookmarkStart w:id="8" w:name="_Toc229579930"/>
      <w:r>
        <w:lastRenderedPageBreak/>
        <w:t xml:space="preserve">Conditions of </w:t>
      </w:r>
      <w:r w:rsidR="00017334">
        <w:t>c</w:t>
      </w:r>
      <w:r>
        <w:t>all</w:t>
      </w:r>
      <w:bookmarkEnd w:id="8"/>
    </w:p>
    <w:p w14:paraId="314DAD3E" w14:textId="77777777" w:rsidR="00664068" w:rsidRPr="00664068" w:rsidRDefault="00664068" w:rsidP="00664068"/>
    <w:p w14:paraId="6AB7EDD5" w14:textId="05929612" w:rsidR="00AD7014" w:rsidRDefault="00C86433" w:rsidP="00AD7014">
      <w:pPr>
        <w:pStyle w:val="ListParagraph"/>
        <w:numPr>
          <w:ilvl w:val="0"/>
          <w:numId w:val="24"/>
        </w:numPr>
      </w:pPr>
      <w:r w:rsidRPr="00C86433">
        <w:t>IVCC will not pay any costs that an applicant or their sub</w:t>
      </w:r>
      <w:r w:rsidRPr="00AD7014">
        <w:rPr>
          <w:rFonts w:ascii="Cambria Math" w:hAnsi="Cambria Math" w:cs="Cambria Math"/>
        </w:rPr>
        <w:t>‑</w:t>
      </w:r>
      <w:r w:rsidRPr="00C86433">
        <w:t>contractors incur when preparing or submitting their application or taking part in this process.</w:t>
      </w:r>
    </w:p>
    <w:p w14:paraId="16E9C0F3" w14:textId="6E6A6C63" w:rsidR="00F76FC4" w:rsidDel="00BC318B" w:rsidRDefault="001D25CA" w:rsidP="00F76FC4">
      <w:pPr>
        <w:pStyle w:val="ListParagraph"/>
        <w:numPr>
          <w:ilvl w:val="0"/>
          <w:numId w:val="24"/>
        </w:numPr>
      </w:pPr>
      <w:r>
        <w:t>Confidentiality</w:t>
      </w:r>
      <w:r w:rsidR="00D0518D">
        <w:t xml:space="preserve">: </w:t>
      </w:r>
      <w:r w:rsidR="00B44229" w:rsidRPr="00B44229">
        <w:t xml:space="preserve">If progressed to the </w:t>
      </w:r>
      <w:r w:rsidR="007634D8">
        <w:t>shorting</w:t>
      </w:r>
      <w:r w:rsidR="00E67CC0">
        <w:t xml:space="preserve"> stage</w:t>
      </w:r>
      <w:r w:rsidR="00B44229" w:rsidRPr="00B44229">
        <w:t xml:space="preserve">, </w:t>
      </w:r>
      <w:r w:rsidR="009B47A5">
        <w:t>if</w:t>
      </w:r>
      <w:r w:rsidR="00B44229" w:rsidRPr="00B44229">
        <w:t xml:space="preserve"> confidential information will be exchanged, applicants will be required to sign a mandatory Non-Disclosure Agreement. Strict confidentiality provisions will also be contained in any </w:t>
      </w:r>
      <w:r w:rsidR="00E67CC0">
        <w:t xml:space="preserve">agreements </w:t>
      </w:r>
      <w:proofErr w:type="gramStart"/>
      <w:r w:rsidR="00B44229" w:rsidRPr="00B44229">
        <w:t>entered into</w:t>
      </w:r>
      <w:proofErr w:type="gramEnd"/>
      <w:r w:rsidR="00B44229" w:rsidRPr="00B44229">
        <w:t xml:space="preserve"> </w:t>
      </w:r>
      <w:proofErr w:type="gramStart"/>
      <w:r w:rsidR="00B44229" w:rsidRPr="00B44229">
        <w:t>as a result of</w:t>
      </w:r>
      <w:proofErr w:type="gramEnd"/>
      <w:r w:rsidR="00B44229" w:rsidRPr="00B44229">
        <w:t xml:space="preserve"> this process. </w:t>
      </w:r>
    </w:p>
    <w:p w14:paraId="2396C6B3" w14:textId="3227A8AB" w:rsidR="0096299B" w:rsidRDefault="0096299B" w:rsidP="0096299B">
      <w:pPr>
        <w:pStyle w:val="ListParagraph"/>
        <w:numPr>
          <w:ilvl w:val="0"/>
          <w:numId w:val="24"/>
        </w:numPr>
      </w:pPr>
      <w:r w:rsidRPr="0096299B">
        <w:t>IVCC may seek clarification from applicants at any stage of the process where this is necessary to fully understand the information provided.</w:t>
      </w:r>
    </w:p>
    <w:p w14:paraId="31D4158C" w14:textId="611F6367" w:rsidR="002F1CB3" w:rsidRDefault="00E67CC0" w:rsidP="00752045">
      <w:pPr>
        <w:pStyle w:val="ListParagraph"/>
        <w:numPr>
          <w:ilvl w:val="0"/>
          <w:numId w:val="24"/>
        </w:numPr>
      </w:pPr>
      <w:r>
        <w:t xml:space="preserve">IVCC may conduct </w:t>
      </w:r>
      <w:r w:rsidR="003C1637">
        <w:t xml:space="preserve">entry level </w:t>
      </w:r>
      <w:r w:rsidR="00600096">
        <w:t xml:space="preserve">ethical, </w:t>
      </w:r>
      <w:r w:rsidR="195D5D33">
        <w:t>financial</w:t>
      </w:r>
      <w:r w:rsidR="00600096">
        <w:t xml:space="preserve"> and safeguarding due diligence check on applicant</w:t>
      </w:r>
      <w:r w:rsidR="003C1637">
        <w:t xml:space="preserve"> organisation. These may be mor</w:t>
      </w:r>
      <w:r w:rsidR="02A901B1">
        <w:t>e</w:t>
      </w:r>
      <w:r w:rsidR="43698F06">
        <w:t xml:space="preserve"> </w:t>
      </w:r>
      <w:r w:rsidR="02A901B1">
        <w:t>in</w:t>
      </w:r>
      <w:r w:rsidR="003C1637">
        <w:t xml:space="preserve"> depth for </w:t>
      </w:r>
      <w:r w:rsidR="00752045">
        <w:t>shortlisted candidates.</w:t>
      </w:r>
    </w:p>
    <w:p w14:paraId="32CCCA00" w14:textId="023437F7" w:rsidR="278B2BDA" w:rsidRDefault="278B2BDA" w:rsidP="31C91081">
      <w:pPr>
        <w:pStyle w:val="ListParagraph"/>
        <w:numPr>
          <w:ilvl w:val="0"/>
          <w:numId w:val="24"/>
        </w:numPr>
      </w:pPr>
      <w:r>
        <w:t xml:space="preserve">Use of Artificial Intelligence – AI tools can be used to improve the efficiency of your bid writing </w:t>
      </w:r>
      <w:r w:rsidR="00E5600D">
        <w:t>process;</w:t>
      </w:r>
      <w:r>
        <w:t xml:space="preserve"> </w:t>
      </w:r>
      <w:proofErr w:type="gramStart"/>
      <w:r>
        <w:t>however</w:t>
      </w:r>
      <w:proofErr w:type="gramEnd"/>
      <w:r>
        <w:t xml:space="preserve"> they may also introduce an increased risk of misleading statements. Your submission should clearly identify any instances where AI or machine learning tools, including large language models have been used to generate written content, or support your bid submission.</w:t>
      </w:r>
    </w:p>
    <w:p w14:paraId="41E55F68" w14:textId="555BDE2B" w:rsidR="002F1CB3" w:rsidRPr="002F1CB3" w:rsidRDefault="002F1CB3" w:rsidP="002F1CB3">
      <w:pPr>
        <w:pStyle w:val="Heading1"/>
        <w:numPr>
          <w:ilvl w:val="0"/>
          <w:numId w:val="1"/>
        </w:numPr>
      </w:pPr>
      <w:bookmarkStart w:id="9" w:name="_Toc229579931"/>
      <w:r w:rsidRPr="002F1CB3">
        <w:t>If you have further questions</w:t>
      </w:r>
      <w:bookmarkEnd w:id="9"/>
    </w:p>
    <w:p w14:paraId="1789FB8A" w14:textId="77777777" w:rsidR="002F1CB3" w:rsidRDefault="002F1CB3" w:rsidP="002F1CB3">
      <w:pPr>
        <w:rPr>
          <w:i/>
          <w:iCs/>
          <w:sz w:val="18"/>
          <w:szCs w:val="18"/>
        </w:rPr>
      </w:pPr>
    </w:p>
    <w:p w14:paraId="2383A00C" w14:textId="33FCFB93" w:rsidR="002F1CB3" w:rsidRDefault="002F1CB3" w:rsidP="002F1CB3">
      <w:pPr>
        <w:pStyle w:val="ListParagraph"/>
        <w:numPr>
          <w:ilvl w:val="0"/>
          <w:numId w:val="23"/>
        </w:numPr>
      </w:pPr>
      <w:r w:rsidRPr="007F522B">
        <w:t xml:space="preserve">IVCC will be hosting a virtual applicant Q&amp;A meeting. This will be held at </w:t>
      </w:r>
      <w:r w:rsidR="00DB31EE" w:rsidRPr="00CC4450">
        <w:rPr>
          <w:b/>
        </w:rPr>
        <w:t>11</w:t>
      </w:r>
      <w:r w:rsidRPr="00CC4450">
        <w:rPr>
          <w:b/>
        </w:rPr>
        <w:t xml:space="preserve">:00 </w:t>
      </w:r>
      <w:r w:rsidR="00DB31EE" w:rsidRPr="00CC4450">
        <w:rPr>
          <w:b/>
        </w:rPr>
        <w:t>BST (UK)</w:t>
      </w:r>
      <w:r w:rsidRPr="007F522B">
        <w:rPr>
          <w:b/>
          <w:bCs/>
        </w:rPr>
        <w:t>, Tuesday 26</w:t>
      </w:r>
      <w:r w:rsidRPr="007F522B">
        <w:rPr>
          <w:b/>
          <w:bCs/>
          <w:vertAlign w:val="superscript"/>
        </w:rPr>
        <w:t>th</w:t>
      </w:r>
      <w:r w:rsidRPr="007F522B">
        <w:rPr>
          <w:b/>
          <w:bCs/>
        </w:rPr>
        <w:t xml:space="preserve"> May 2026</w:t>
      </w:r>
      <w:r w:rsidRPr="007F522B">
        <w:t>.</w:t>
      </w:r>
      <w:r>
        <w:t xml:space="preserve"> </w:t>
      </w:r>
      <w:r w:rsidR="006D4F64" w:rsidRPr="006D4F64">
        <w:t>This session will be in English.</w:t>
      </w:r>
    </w:p>
    <w:p w14:paraId="0B9FA7B5" w14:textId="77777777" w:rsidR="002F1CB3" w:rsidRDefault="002F1CB3" w:rsidP="002F1CB3">
      <w:pPr>
        <w:pStyle w:val="ListParagraph"/>
        <w:numPr>
          <w:ilvl w:val="0"/>
          <w:numId w:val="23"/>
        </w:numPr>
      </w:pPr>
      <w:r>
        <w:t>If you would like to attend, please email IVCC’s Technical Services Manager, Natalie Lissenden (</w:t>
      </w:r>
      <w:hyperlink r:id="rId15" w:history="1">
        <w:r w:rsidRPr="009F001C">
          <w:rPr>
            <w:rStyle w:val="Hyperlink"/>
          </w:rPr>
          <w:t>info@ivcc.com</w:t>
        </w:r>
      </w:hyperlink>
      <w:r>
        <w:t>), and she will forward the meeting invite to you.</w:t>
      </w:r>
    </w:p>
    <w:p w14:paraId="6D317EC7" w14:textId="7D8F1D6B" w:rsidR="00805151" w:rsidRDefault="00805151" w:rsidP="00805151">
      <w:pPr>
        <w:pStyle w:val="ListParagraph"/>
        <w:numPr>
          <w:ilvl w:val="0"/>
          <w:numId w:val="23"/>
        </w:numPr>
      </w:pPr>
      <w:r>
        <w:t>Questions asked during the Q&amp;A will be anonymised and posted for public view though the Call for Field Partners page on the IVCC Website.</w:t>
      </w:r>
    </w:p>
    <w:p w14:paraId="78B5786A" w14:textId="1C8DB9CE" w:rsidR="002F1CB3" w:rsidRDefault="0097089F" w:rsidP="002F1CB3">
      <w:pPr>
        <w:pStyle w:val="ListParagraph"/>
        <w:numPr>
          <w:ilvl w:val="0"/>
          <w:numId w:val="23"/>
        </w:numPr>
      </w:pPr>
      <w:r>
        <w:t xml:space="preserve">Any further </w:t>
      </w:r>
      <w:r w:rsidR="002F1CB3">
        <w:t>questions relating to this call should be submitted directly to IVCC’s Technical Services Manager, Natalie Lissenden (</w:t>
      </w:r>
      <w:hyperlink r:id="rId16" w:history="1">
        <w:r w:rsidR="002F1CB3" w:rsidRPr="009F001C">
          <w:rPr>
            <w:rStyle w:val="Hyperlink"/>
          </w:rPr>
          <w:t>info@ivcc.com</w:t>
        </w:r>
      </w:hyperlink>
      <w:r w:rsidR="002F1CB3">
        <w:t xml:space="preserve">). Please include the subject line “Call for Partners: Field </w:t>
      </w:r>
      <w:r w:rsidR="004F40DD">
        <w:t>Research</w:t>
      </w:r>
      <w:r w:rsidR="002F1CB3">
        <w:t>”, or your question may be missed.</w:t>
      </w:r>
    </w:p>
    <w:p w14:paraId="45C46D27" w14:textId="77777777" w:rsidR="00DB31EE" w:rsidRDefault="002F1CB3" w:rsidP="00643E92">
      <w:pPr>
        <w:pStyle w:val="ListParagraph"/>
        <w:numPr>
          <w:ilvl w:val="0"/>
          <w:numId w:val="23"/>
        </w:numPr>
      </w:pPr>
      <w:r w:rsidRPr="00F0099C">
        <w:t xml:space="preserve">All </w:t>
      </w:r>
      <w:r>
        <w:t xml:space="preserve">questions </w:t>
      </w:r>
      <w:r w:rsidRPr="00F0099C">
        <w:t xml:space="preserve">regarding the content of this call must be received by IVCC no later than 23:59 GMT, </w:t>
      </w:r>
      <w:r>
        <w:t>Friday 29</w:t>
      </w:r>
      <w:r w:rsidRPr="00F0099C">
        <w:rPr>
          <w:vertAlign w:val="superscript"/>
        </w:rPr>
        <w:t>th</w:t>
      </w:r>
      <w:r w:rsidRPr="00F0099C">
        <w:t xml:space="preserve"> May 2026 to ensure that responses are provided </w:t>
      </w:r>
      <w:r>
        <w:t>in a timely manner</w:t>
      </w:r>
      <w:r w:rsidRPr="00F0099C">
        <w:t>.</w:t>
      </w:r>
    </w:p>
    <w:p w14:paraId="280C643C" w14:textId="77777777" w:rsidR="00DB31EE" w:rsidRDefault="00DB31EE" w:rsidP="00DB31EE">
      <w:pPr>
        <w:pStyle w:val="ListParagraph"/>
        <w:ind w:left="360"/>
      </w:pPr>
    </w:p>
    <w:p w14:paraId="05645B7E" w14:textId="5B09E79A" w:rsidR="00B44229" w:rsidRPr="00FE7112" w:rsidRDefault="00643E92" w:rsidP="005709B4">
      <w:r>
        <w:t xml:space="preserve">End of document. </w:t>
      </w:r>
    </w:p>
    <w:sectPr w:rsidR="00B44229" w:rsidRPr="00FE7112" w:rsidSect="00D03C12">
      <w:headerReference w:type="default" r:id="rId17"/>
      <w:footerReference w:type="default" r:id="rId18"/>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8013" w14:textId="77777777" w:rsidR="002B13FC" w:rsidRDefault="002B13FC" w:rsidP="00F90ADA">
      <w:pPr>
        <w:spacing w:after="0" w:line="240" w:lineRule="auto"/>
      </w:pPr>
      <w:r>
        <w:separator/>
      </w:r>
    </w:p>
  </w:endnote>
  <w:endnote w:type="continuationSeparator" w:id="0">
    <w:p w14:paraId="0A3756B2" w14:textId="77777777" w:rsidR="002B13FC" w:rsidRDefault="002B13FC" w:rsidP="00F9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2590"/>
      <w:docPartObj>
        <w:docPartGallery w:val="Page Numbers (Bottom of Page)"/>
        <w:docPartUnique/>
      </w:docPartObj>
    </w:sdtPr>
    <w:sdtEndPr>
      <w:rPr>
        <w:noProof/>
      </w:rPr>
    </w:sdtEndPr>
    <w:sdtContent>
      <w:p w14:paraId="49CFC809" w14:textId="4C3689EF" w:rsidR="001D231E" w:rsidRDefault="001D23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E73B81" w14:textId="77777777" w:rsidR="001D231E" w:rsidRDefault="001D2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7639" w14:textId="77777777" w:rsidR="002B13FC" w:rsidRDefault="002B13FC" w:rsidP="00F90ADA">
      <w:pPr>
        <w:spacing w:after="0" w:line="240" w:lineRule="auto"/>
      </w:pPr>
      <w:r>
        <w:separator/>
      </w:r>
    </w:p>
  </w:footnote>
  <w:footnote w:type="continuationSeparator" w:id="0">
    <w:p w14:paraId="511DB5EC" w14:textId="77777777" w:rsidR="002B13FC" w:rsidRDefault="002B13FC" w:rsidP="00F9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12ED" w14:textId="348767B5" w:rsidR="00983903" w:rsidRDefault="00C05F3C" w:rsidP="00FD710E">
    <w:pPr>
      <w:spacing w:line="240" w:lineRule="auto"/>
      <w:ind w:right="-46"/>
      <w:jc w:val="right"/>
      <w:rPr>
        <w:sz w:val="20"/>
        <w:szCs w:val="20"/>
      </w:rPr>
    </w:pPr>
    <w:r>
      <w:rPr>
        <w:noProof/>
        <w:sz w:val="20"/>
        <w:szCs w:val="20"/>
      </w:rPr>
      <w:drawing>
        <wp:anchor distT="0" distB="0" distL="114300" distR="114300" simplePos="0" relativeHeight="251658240" behindDoc="0" locked="0" layoutInCell="1" allowOverlap="1" wp14:anchorId="495BAC8C" wp14:editId="6DB2B557">
          <wp:simplePos x="0" y="0"/>
          <wp:positionH relativeFrom="column">
            <wp:posOffset>-180975</wp:posOffset>
          </wp:positionH>
          <wp:positionV relativeFrom="page">
            <wp:posOffset>450215</wp:posOffset>
          </wp:positionV>
          <wp:extent cx="1447800" cy="501650"/>
          <wp:effectExtent l="0" t="0" r="0" b="0"/>
          <wp:wrapSquare wrapText="bothSides"/>
          <wp:docPr id="169547443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149"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7800" cy="501650"/>
                  </a:xfrm>
                  <a:prstGeom prst="rect">
                    <a:avLst/>
                  </a:prstGeom>
                </pic:spPr>
              </pic:pic>
            </a:graphicData>
          </a:graphic>
          <wp14:sizeRelH relativeFrom="margin">
            <wp14:pctWidth>0</wp14:pctWidth>
          </wp14:sizeRelH>
          <wp14:sizeRelV relativeFrom="margin">
            <wp14:pctHeight>0</wp14:pctHeight>
          </wp14:sizeRelV>
        </wp:anchor>
      </w:drawing>
    </w:r>
    <w:r w:rsidR="00983903">
      <w:rPr>
        <w:sz w:val="20"/>
        <w:szCs w:val="20"/>
      </w:rPr>
      <w:t xml:space="preserve"> </w:t>
    </w:r>
    <w:r w:rsidR="003B014B">
      <w:rPr>
        <w:sz w:val="20"/>
        <w:szCs w:val="20"/>
      </w:rPr>
      <w:t>M</w:t>
    </w:r>
    <w:r w:rsidR="00F26829">
      <w:rPr>
        <w:sz w:val="20"/>
        <w:szCs w:val="20"/>
      </w:rPr>
      <w:t>ay</w:t>
    </w:r>
    <w:r w:rsidR="003B014B">
      <w:rPr>
        <w:sz w:val="20"/>
        <w:szCs w:val="20"/>
      </w:rPr>
      <w:t xml:space="preserve"> 2026</w:t>
    </w:r>
  </w:p>
  <w:p w14:paraId="2E0E677E" w14:textId="2FA310F9" w:rsidR="00F90ADA" w:rsidRPr="00553AA6" w:rsidRDefault="003B014B" w:rsidP="00FD710E">
    <w:pPr>
      <w:spacing w:line="240" w:lineRule="auto"/>
      <w:ind w:right="-46"/>
      <w:jc w:val="right"/>
      <w:rPr>
        <w:sz w:val="20"/>
        <w:szCs w:val="20"/>
      </w:rPr>
    </w:pPr>
    <w:r>
      <w:rPr>
        <w:sz w:val="20"/>
        <w:szCs w:val="20"/>
      </w:rPr>
      <w:t xml:space="preserve">Field </w:t>
    </w:r>
    <w:r w:rsidR="00AD7211">
      <w:rPr>
        <w:sz w:val="20"/>
        <w:szCs w:val="20"/>
      </w:rPr>
      <w:t>Research</w:t>
    </w:r>
  </w:p>
  <w:p w14:paraId="375578D1" w14:textId="77777777" w:rsidR="00F90ADA" w:rsidRDefault="00F90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3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05423"/>
    <w:multiLevelType w:val="multilevel"/>
    <w:tmpl w:val="169C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41890"/>
    <w:multiLevelType w:val="multilevel"/>
    <w:tmpl w:val="0809001F"/>
    <w:lvl w:ilvl="0">
      <w:start w:val="1"/>
      <w:numFmt w:val="decimal"/>
      <w:lvlText w:val="%1."/>
      <w:lvlJc w:val="left"/>
      <w:pPr>
        <w:ind w:left="473" w:hanging="360"/>
      </w:pPr>
    </w:lvl>
    <w:lvl w:ilvl="1">
      <w:start w:val="1"/>
      <w:numFmt w:val="decimal"/>
      <w:lvlText w:val="%1.%2."/>
      <w:lvlJc w:val="left"/>
      <w:pPr>
        <w:ind w:left="905" w:hanging="432"/>
      </w:pPr>
    </w:lvl>
    <w:lvl w:ilvl="2">
      <w:start w:val="1"/>
      <w:numFmt w:val="decimal"/>
      <w:lvlText w:val="%1.%2.%3."/>
      <w:lvlJc w:val="left"/>
      <w:pPr>
        <w:ind w:left="1337" w:hanging="504"/>
      </w:pPr>
    </w:lvl>
    <w:lvl w:ilvl="3">
      <w:start w:val="1"/>
      <w:numFmt w:val="decimal"/>
      <w:lvlText w:val="%1.%2.%3.%4."/>
      <w:lvlJc w:val="left"/>
      <w:pPr>
        <w:ind w:left="1841" w:hanging="648"/>
      </w:pPr>
    </w:lvl>
    <w:lvl w:ilvl="4">
      <w:start w:val="1"/>
      <w:numFmt w:val="decimal"/>
      <w:lvlText w:val="%1.%2.%3.%4.%5."/>
      <w:lvlJc w:val="left"/>
      <w:pPr>
        <w:ind w:left="2345" w:hanging="792"/>
      </w:pPr>
    </w:lvl>
    <w:lvl w:ilvl="5">
      <w:start w:val="1"/>
      <w:numFmt w:val="decimal"/>
      <w:lvlText w:val="%1.%2.%3.%4.%5.%6."/>
      <w:lvlJc w:val="left"/>
      <w:pPr>
        <w:ind w:left="2849" w:hanging="936"/>
      </w:pPr>
    </w:lvl>
    <w:lvl w:ilvl="6">
      <w:start w:val="1"/>
      <w:numFmt w:val="decimal"/>
      <w:lvlText w:val="%1.%2.%3.%4.%5.%6.%7."/>
      <w:lvlJc w:val="left"/>
      <w:pPr>
        <w:ind w:left="3353" w:hanging="1080"/>
      </w:pPr>
    </w:lvl>
    <w:lvl w:ilvl="7">
      <w:start w:val="1"/>
      <w:numFmt w:val="decimal"/>
      <w:lvlText w:val="%1.%2.%3.%4.%5.%6.%7.%8."/>
      <w:lvlJc w:val="left"/>
      <w:pPr>
        <w:ind w:left="3857" w:hanging="1224"/>
      </w:pPr>
    </w:lvl>
    <w:lvl w:ilvl="8">
      <w:start w:val="1"/>
      <w:numFmt w:val="decimal"/>
      <w:lvlText w:val="%1.%2.%3.%4.%5.%6.%7.%8.%9."/>
      <w:lvlJc w:val="left"/>
      <w:pPr>
        <w:ind w:left="4433" w:hanging="1440"/>
      </w:pPr>
    </w:lvl>
  </w:abstractNum>
  <w:abstractNum w:abstractNumId="3" w15:restartNumberingAfterBreak="0">
    <w:nsid w:val="100415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0A597E"/>
    <w:multiLevelType w:val="multilevel"/>
    <w:tmpl w:val="FA44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0CB"/>
    <w:multiLevelType w:val="hybridMultilevel"/>
    <w:tmpl w:val="314EE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611F1"/>
    <w:multiLevelType w:val="multilevel"/>
    <w:tmpl w:val="ECDA2A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90221E0"/>
    <w:multiLevelType w:val="multilevel"/>
    <w:tmpl w:val="0809001F"/>
    <w:numStyleLink w:val="Style1"/>
  </w:abstractNum>
  <w:abstractNum w:abstractNumId="8" w15:restartNumberingAfterBreak="0">
    <w:nsid w:val="1C564CA1"/>
    <w:multiLevelType w:val="multilevel"/>
    <w:tmpl w:val="E42039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E902A66"/>
    <w:multiLevelType w:val="multilevel"/>
    <w:tmpl w:val="0809001F"/>
    <w:numStyleLink w:val="Style1"/>
  </w:abstractNum>
  <w:abstractNum w:abstractNumId="10" w15:restartNumberingAfterBreak="0">
    <w:nsid w:val="1F1E0814"/>
    <w:multiLevelType w:val="hybridMultilevel"/>
    <w:tmpl w:val="24367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6390D"/>
    <w:multiLevelType w:val="hybridMultilevel"/>
    <w:tmpl w:val="F154C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E21C3"/>
    <w:multiLevelType w:val="multilevel"/>
    <w:tmpl w:val="B648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C17327"/>
    <w:multiLevelType w:val="hybridMultilevel"/>
    <w:tmpl w:val="F3E6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B4C18"/>
    <w:multiLevelType w:val="hybridMultilevel"/>
    <w:tmpl w:val="17707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4B1752"/>
    <w:multiLevelType w:val="hybridMultilevel"/>
    <w:tmpl w:val="D076F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FA41AE"/>
    <w:multiLevelType w:val="multilevel"/>
    <w:tmpl w:val="C96237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13447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B28AE"/>
    <w:multiLevelType w:val="multilevel"/>
    <w:tmpl w:val="9C0E2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9680FA5"/>
    <w:multiLevelType w:val="multilevel"/>
    <w:tmpl w:val="CD5CEF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BB135EC"/>
    <w:multiLevelType w:val="multilevel"/>
    <w:tmpl w:val="96E67D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C401819"/>
    <w:multiLevelType w:val="hybridMultilevel"/>
    <w:tmpl w:val="4C584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8F565B"/>
    <w:multiLevelType w:val="multilevel"/>
    <w:tmpl w:val="0809001F"/>
    <w:numStyleLink w:val="Style1"/>
  </w:abstractNum>
  <w:abstractNum w:abstractNumId="23" w15:restartNumberingAfterBreak="0">
    <w:nsid w:val="422C5617"/>
    <w:multiLevelType w:val="hybridMultilevel"/>
    <w:tmpl w:val="049AD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81185E"/>
    <w:multiLevelType w:val="multilevel"/>
    <w:tmpl w:val="F7005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37C1F3C"/>
    <w:multiLevelType w:val="hybridMultilevel"/>
    <w:tmpl w:val="FDEE4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64692"/>
    <w:multiLevelType w:val="hybridMultilevel"/>
    <w:tmpl w:val="449EC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2D54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36AF8"/>
    <w:multiLevelType w:val="hybridMultilevel"/>
    <w:tmpl w:val="753CE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4D1AD8"/>
    <w:multiLevelType w:val="hybridMultilevel"/>
    <w:tmpl w:val="1CD22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5004AF"/>
    <w:multiLevelType w:val="hybridMultilevel"/>
    <w:tmpl w:val="96084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60341E"/>
    <w:multiLevelType w:val="multilevel"/>
    <w:tmpl w:val="61D6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150A1F"/>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3135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F668EC"/>
    <w:multiLevelType w:val="hybridMultilevel"/>
    <w:tmpl w:val="C0E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67BFF"/>
    <w:multiLevelType w:val="hybridMultilevel"/>
    <w:tmpl w:val="1F86A7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3E071A"/>
    <w:multiLevelType w:val="hybridMultilevel"/>
    <w:tmpl w:val="32C65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FA2481"/>
    <w:multiLevelType w:val="multilevel"/>
    <w:tmpl w:val="0809001F"/>
    <w:numStyleLink w:val="Style1"/>
  </w:abstractNum>
  <w:abstractNum w:abstractNumId="38" w15:restartNumberingAfterBreak="0">
    <w:nsid w:val="6C7E661C"/>
    <w:multiLevelType w:val="hybridMultilevel"/>
    <w:tmpl w:val="0C440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5D1E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D06121"/>
    <w:multiLevelType w:val="multilevel"/>
    <w:tmpl w:val="0809001F"/>
    <w:numStyleLink w:val="Style1"/>
  </w:abstractNum>
  <w:abstractNum w:abstractNumId="41" w15:restartNumberingAfterBreak="0">
    <w:nsid w:val="7BA944F0"/>
    <w:multiLevelType w:val="hybridMultilevel"/>
    <w:tmpl w:val="DB68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330A29"/>
    <w:multiLevelType w:val="hybridMultilevel"/>
    <w:tmpl w:val="EB0E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8F3AA6"/>
    <w:multiLevelType w:val="hybridMultilevel"/>
    <w:tmpl w:val="5338E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0996194">
    <w:abstractNumId w:val="7"/>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27570103">
    <w:abstractNumId w:val="27"/>
  </w:num>
  <w:num w:numId="3" w16cid:durableId="2090302384">
    <w:abstractNumId w:val="32"/>
  </w:num>
  <w:num w:numId="4" w16cid:durableId="417485249">
    <w:abstractNumId w:val="9"/>
  </w:num>
  <w:num w:numId="5" w16cid:durableId="1563515559">
    <w:abstractNumId w:val="0"/>
  </w:num>
  <w:num w:numId="6" w16cid:durableId="1241334360">
    <w:abstractNumId w:val="35"/>
  </w:num>
  <w:num w:numId="7" w16cid:durableId="1585722790">
    <w:abstractNumId w:val="28"/>
  </w:num>
  <w:num w:numId="8" w16cid:durableId="999430617">
    <w:abstractNumId w:val="4"/>
  </w:num>
  <w:num w:numId="9" w16cid:durableId="1578591108">
    <w:abstractNumId w:val="24"/>
  </w:num>
  <w:num w:numId="10" w16cid:durableId="1770004232">
    <w:abstractNumId w:val="8"/>
  </w:num>
  <w:num w:numId="11" w16cid:durableId="889462794">
    <w:abstractNumId w:val="19"/>
  </w:num>
  <w:num w:numId="12" w16cid:durableId="278099972">
    <w:abstractNumId w:val="31"/>
  </w:num>
  <w:num w:numId="13" w16cid:durableId="2079208962">
    <w:abstractNumId w:val="6"/>
  </w:num>
  <w:num w:numId="14" w16cid:durableId="797063961">
    <w:abstractNumId w:val="18"/>
  </w:num>
  <w:num w:numId="15" w16cid:durableId="522212521">
    <w:abstractNumId w:val="15"/>
  </w:num>
  <w:num w:numId="16" w16cid:durableId="1204559147">
    <w:abstractNumId w:val="21"/>
  </w:num>
  <w:num w:numId="17" w16cid:durableId="2119252238">
    <w:abstractNumId w:val="2"/>
  </w:num>
  <w:num w:numId="18" w16cid:durableId="1254898232">
    <w:abstractNumId w:val="17"/>
  </w:num>
  <w:num w:numId="19" w16cid:durableId="1328827747">
    <w:abstractNumId w:val="3"/>
  </w:num>
  <w:num w:numId="20" w16cid:durableId="2114206840">
    <w:abstractNumId w:val="43"/>
  </w:num>
  <w:num w:numId="21" w16cid:durableId="299189531">
    <w:abstractNumId w:val="33"/>
  </w:num>
  <w:num w:numId="22" w16cid:durableId="2012948234">
    <w:abstractNumId w:val="39"/>
  </w:num>
  <w:num w:numId="23" w16cid:durableId="259411886">
    <w:abstractNumId w:val="10"/>
  </w:num>
  <w:num w:numId="24" w16cid:durableId="1351032101">
    <w:abstractNumId w:val="23"/>
  </w:num>
  <w:num w:numId="25" w16cid:durableId="224920691">
    <w:abstractNumId w:val="26"/>
  </w:num>
  <w:num w:numId="26" w16cid:durableId="411583191">
    <w:abstractNumId w:val="42"/>
  </w:num>
  <w:num w:numId="27" w16cid:durableId="1605533626">
    <w:abstractNumId w:val="29"/>
  </w:num>
  <w:num w:numId="28" w16cid:durableId="1830174643">
    <w:abstractNumId w:val="36"/>
  </w:num>
  <w:num w:numId="29" w16cid:durableId="1393189754">
    <w:abstractNumId w:val="41"/>
  </w:num>
  <w:num w:numId="30" w16cid:durableId="956528637">
    <w:abstractNumId w:val="12"/>
  </w:num>
  <w:num w:numId="31" w16cid:durableId="457576471">
    <w:abstractNumId w:val="34"/>
  </w:num>
  <w:num w:numId="32" w16cid:durableId="2094160692">
    <w:abstractNumId w:val="16"/>
  </w:num>
  <w:num w:numId="33" w16cid:durableId="1095516322">
    <w:abstractNumId w:val="22"/>
  </w:num>
  <w:num w:numId="34" w16cid:durableId="767434802">
    <w:abstractNumId w:val="37"/>
  </w:num>
  <w:num w:numId="35" w16cid:durableId="332802453">
    <w:abstractNumId w:val="40"/>
  </w:num>
  <w:num w:numId="36" w16cid:durableId="1415396202">
    <w:abstractNumId w:val="5"/>
  </w:num>
  <w:num w:numId="37" w16cid:durableId="1350835537">
    <w:abstractNumId w:val="30"/>
  </w:num>
  <w:num w:numId="38" w16cid:durableId="1370643927">
    <w:abstractNumId w:val="20"/>
  </w:num>
  <w:num w:numId="39" w16cid:durableId="443378537">
    <w:abstractNumId w:val="1"/>
  </w:num>
  <w:num w:numId="40" w16cid:durableId="311065085">
    <w:abstractNumId w:val="13"/>
  </w:num>
  <w:num w:numId="41" w16cid:durableId="1756121687">
    <w:abstractNumId w:val="11"/>
  </w:num>
  <w:num w:numId="42" w16cid:durableId="1795908522">
    <w:abstractNumId w:val="25"/>
  </w:num>
  <w:num w:numId="43" w16cid:durableId="664817663">
    <w:abstractNumId w:val="14"/>
  </w:num>
  <w:num w:numId="44" w16cid:durableId="18657483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B6"/>
    <w:rsid w:val="00001048"/>
    <w:rsid w:val="000010C4"/>
    <w:rsid w:val="00002FC3"/>
    <w:rsid w:val="00017334"/>
    <w:rsid w:val="0002022A"/>
    <w:rsid w:val="00020415"/>
    <w:rsid w:val="00022216"/>
    <w:rsid w:val="00022CFC"/>
    <w:rsid w:val="00036322"/>
    <w:rsid w:val="00036359"/>
    <w:rsid w:val="0003724F"/>
    <w:rsid w:val="000410F8"/>
    <w:rsid w:val="00042581"/>
    <w:rsid w:val="00044535"/>
    <w:rsid w:val="00045450"/>
    <w:rsid w:val="000455FD"/>
    <w:rsid w:val="00045647"/>
    <w:rsid w:val="0004782F"/>
    <w:rsid w:val="00051C4E"/>
    <w:rsid w:val="00052156"/>
    <w:rsid w:val="00055496"/>
    <w:rsid w:val="0005557A"/>
    <w:rsid w:val="000577B5"/>
    <w:rsid w:val="0005795C"/>
    <w:rsid w:val="00061DDD"/>
    <w:rsid w:val="00063015"/>
    <w:rsid w:val="00064525"/>
    <w:rsid w:val="00065558"/>
    <w:rsid w:val="0006555D"/>
    <w:rsid w:val="00065D82"/>
    <w:rsid w:val="00066306"/>
    <w:rsid w:val="000712FC"/>
    <w:rsid w:val="000743B0"/>
    <w:rsid w:val="00074ABD"/>
    <w:rsid w:val="00080835"/>
    <w:rsid w:val="00087753"/>
    <w:rsid w:val="000904DA"/>
    <w:rsid w:val="00093099"/>
    <w:rsid w:val="000932E0"/>
    <w:rsid w:val="000944F7"/>
    <w:rsid w:val="0009524C"/>
    <w:rsid w:val="000972F2"/>
    <w:rsid w:val="000A3BF8"/>
    <w:rsid w:val="000A4911"/>
    <w:rsid w:val="000A7A55"/>
    <w:rsid w:val="000B0193"/>
    <w:rsid w:val="000B5379"/>
    <w:rsid w:val="000B5AB1"/>
    <w:rsid w:val="000B66CA"/>
    <w:rsid w:val="000B769C"/>
    <w:rsid w:val="000B77D9"/>
    <w:rsid w:val="000C1010"/>
    <w:rsid w:val="000C27FE"/>
    <w:rsid w:val="000C54ED"/>
    <w:rsid w:val="000D0722"/>
    <w:rsid w:val="000D1873"/>
    <w:rsid w:val="000D1D01"/>
    <w:rsid w:val="000D22A0"/>
    <w:rsid w:val="000D2C6D"/>
    <w:rsid w:val="000D3007"/>
    <w:rsid w:val="000D46FC"/>
    <w:rsid w:val="000E52D7"/>
    <w:rsid w:val="000E65F9"/>
    <w:rsid w:val="000E6C75"/>
    <w:rsid w:val="000F36A8"/>
    <w:rsid w:val="000F3F8F"/>
    <w:rsid w:val="00102E2A"/>
    <w:rsid w:val="00105793"/>
    <w:rsid w:val="00105AEC"/>
    <w:rsid w:val="00107932"/>
    <w:rsid w:val="00107BF2"/>
    <w:rsid w:val="0011035C"/>
    <w:rsid w:val="00110EE9"/>
    <w:rsid w:val="00115796"/>
    <w:rsid w:val="00116C11"/>
    <w:rsid w:val="00120555"/>
    <w:rsid w:val="00120598"/>
    <w:rsid w:val="0012098B"/>
    <w:rsid w:val="001225F7"/>
    <w:rsid w:val="001265FD"/>
    <w:rsid w:val="0012739D"/>
    <w:rsid w:val="00132B61"/>
    <w:rsid w:val="00132F3A"/>
    <w:rsid w:val="001349EB"/>
    <w:rsid w:val="0014001E"/>
    <w:rsid w:val="00141551"/>
    <w:rsid w:val="001427DC"/>
    <w:rsid w:val="00142B87"/>
    <w:rsid w:val="00143BFB"/>
    <w:rsid w:val="00145B1A"/>
    <w:rsid w:val="001476CB"/>
    <w:rsid w:val="00153B10"/>
    <w:rsid w:val="001540AB"/>
    <w:rsid w:val="00157E1F"/>
    <w:rsid w:val="00162CFC"/>
    <w:rsid w:val="00163A29"/>
    <w:rsid w:val="0016682B"/>
    <w:rsid w:val="00172F6A"/>
    <w:rsid w:val="00175021"/>
    <w:rsid w:val="00175B38"/>
    <w:rsid w:val="00181E55"/>
    <w:rsid w:val="001834AA"/>
    <w:rsid w:val="00185EBD"/>
    <w:rsid w:val="00186998"/>
    <w:rsid w:val="001947D8"/>
    <w:rsid w:val="0019529A"/>
    <w:rsid w:val="001A05A0"/>
    <w:rsid w:val="001A106C"/>
    <w:rsid w:val="001A1D8E"/>
    <w:rsid w:val="001A2436"/>
    <w:rsid w:val="001A2DCF"/>
    <w:rsid w:val="001A536A"/>
    <w:rsid w:val="001A6D32"/>
    <w:rsid w:val="001B22C9"/>
    <w:rsid w:val="001B2C8C"/>
    <w:rsid w:val="001C2525"/>
    <w:rsid w:val="001C39ED"/>
    <w:rsid w:val="001C3CFB"/>
    <w:rsid w:val="001C4E49"/>
    <w:rsid w:val="001C5853"/>
    <w:rsid w:val="001C79C3"/>
    <w:rsid w:val="001D231E"/>
    <w:rsid w:val="001D25CA"/>
    <w:rsid w:val="001D283B"/>
    <w:rsid w:val="001D2D3B"/>
    <w:rsid w:val="001D3547"/>
    <w:rsid w:val="001D3AB8"/>
    <w:rsid w:val="001D3F2A"/>
    <w:rsid w:val="001D6E99"/>
    <w:rsid w:val="001E14CB"/>
    <w:rsid w:val="001E22CC"/>
    <w:rsid w:val="001E39A7"/>
    <w:rsid w:val="001E3C2A"/>
    <w:rsid w:val="001E4148"/>
    <w:rsid w:val="001E5A22"/>
    <w:rsid w:val="001E5B46"/>
    <w:rsid w:val="001E6AE3"/>
    <w:rsid w:val="001F0FA6"/>
    <w:rsid w:val="001F1EEC"/>
    <w:rsid w:val="001F27DE"/>
    <w:rsid w:val="001F6AC5"/>
    <w:rsid w:val="001F742B"/>
    <w:rsid w:val="0020087B"/>
    <w:rsid w:val="00201CA9"/>
    <w:rsid w:val="00203DB2"/>
    <w:rsid w:val="00204565"/>
    <w:rsid w:val="00212CED"/>
    <w:rsid w:val="002133BC"/>
    <w:rsid w:val="00215051"/>
    <w:rsid w:val="00215E22"/>
    <w:rsid w:val="00220720"/>
    <w:rsid w:val="00222FB6"/>
    <w:rsid w:val="002252E8"/>
    <w:rsid w:val="0022602D"/>
    <w:rsid w:val="00227D6A"/>
    <w:rsid w:val="00232083"/>
    <w:rsid w:val="002429E2"/>
    <w:rsid w:val="00243267"/>
    <w:rsid w:val="00243640"/>
    <w:rsid w:val="002458B8"/>
    <w:rsid w:val="00245BBB"/>
    <w:rsid w:val="00250479"/>
    <w:rsid w:val="00251FB6"/>
    <w:rsid w:val="002535CD"/>
    <w:rsid w:val="002547A3"/>
    <w:rsid w:val="00254BAC"/>
    <w:rsid w:val="00257659"/>
    <w:rsid w:val="002612FE"/>
    <w:rsid w:val="00263692"/>
    <w:rsid w:val="00264300"/>
    <w:rsid w:val="002643D1"/>
    <w:rsid w:val="0026494B"/>
    <w:rsid w:val="00266391"/>
    <w:rsid w:val="00270151"/>
    <w:rsid w:val="00270FD2"/>
    <w:rsid w:val="0027380F"/>
    <w:rsid w:val="00274056"/>
    <w:rsid w:val="00274E2C"/>
    <w:rsid w:val="00275155"/>
    <w:rsid w:val="00276211"/>
    <w:rsid w:val="00281FAB"/>
    <w:rsid w:val="002845E1"/>
    <w:rsid w:val="002847B9"/>
    <w:rsid w:val="00284B6F"/>
    <w:rsid w:val="00291292"/>
    <w:rsid w:val="0029193B"/>
    <w:rsid w:val="00292715"/>
    <w:rsid w:val="002945BC"/>
    <w:rsid w:val="002966E2"/>
    <w:rsid w:val="002A0853"/>
    <w:rsid w:val="002A500B"/>
    <w:rsid w:val="002B13FC"/>
    <w:rsid w:val="002B14F4"/>
    <w:rsid w:val="002B2594"/>
    <w:rsid w:val="002B377E"/>
    <w:rsid w:val="002B3D52"/>
    <w:rsid w:val="002B501C"/>
    <w:rsid w:val="002C08EF"/>
    <w:rsid w:val="002C21CF"/>
    <w:rsid w:val="002C3DEA"/>
    <w:rsid w:val="002C4B5C"/>
    <w:rsid w:val="002C7A03"/>
    <w:rsid w:val="002D01B0"/>
    <w:rsid w:val="002D0B09"/>
    <w:rsid w:val="002D4E46"/>
    <w:rsid w:val="002D7509"/>
    <w:rsid w:val="002E1442"/>
    <w:rsid w:val="002E4DC3"/>
    <w:rsid w:val="002E64FE"/>
    <w:rsid w:val="002F1CB3"/>
    <w:rsid w:val="002F248B"/>
    <w:rsid w:val="002F42C7"/>
    <w:rsid w:val="00301423"/>
    <w:rsid w:val="003040C9"/>
    <w:rsid w:val="0030569C"/>
    <w:rsid w:val="003078BD"/>
    <w:rsid w:val="00315E6B"/>
    <w:rsid w:val="00315FB9"/>
    <w:rsid w:val="003207A1"/>
    <w:rsid w:val="00326260"/>
    <w:rsid w:val="00326596"/>
    <w:rsid w:val="0032737E"/>
    <w:rsid w:val="00327984"/>
    <w:rsid w:val="00327DB3"/>
    <w:rsid w:val="0033032B"/>
    <w:rsid w:val="003303C2"/>
    <w:rsid w:val="003305F5"/>
    <w:rsid w:val="00333BE7"/>
    <w:rsid w:val="00335D30"/>
    <w:rsid w:val="00335FDF"/>
    <w:rsid w:val="00341B0C"/>
    <w:rsid w:val="00343DC3"/>
    <w:rsid w:val="00345025"/>
    <w:rsid w:val="00347387"/>
    <w:rsid w:val="00351435"/>
    <w:rsid w:val="003561FA"/>
    <w:rsid w:val="00363016"/>
    <w:rsid w:val="003637A2"/>
    <w:rsid w:val="0036776C"/>
    <w:rsid w:val="00367B46"/>
    <w:rsid w:val="00372508"/>
    <w:rsid w:val="00375F32"/>
    <w:rsid w:val="00380F7C"/>
    <w:rsid w:val="00381BDA"/>
    <w:rsid w:val="00382826"/>
    <w:rsid w:val="00383110"/>
    <w:rsid w:val="00383596"/>
    <w:rsid w:val="0038491F"/>
    <w:rsid w:val="0038546D"/>
    <w:rsid w:val="00385770"/>
    <w:rsid w:val="00385FFC"/>
    <w:rsid w:val="003860FF"/>
    <w:rsid w:val="00386B37"/>
    <w:rsid w:val="0039087B"/>
    <w:rsid w:val="00395FBC"/>
    <w:rsid w:val="003A134E"/>
    <w:rsid w:val="003A274D"/>
    <w:rsid w:val="003A31B1"/>
    <w:rsid w:val="003A35B3"/>
    <w:rsid w:val="003A68B3"/>
    <w:rsid w:val="003B014B"/>
    <w:rsid w:val="003B3F44"/>
    <w:rsid w:val="003B5484"/>
    <w:rsid w:val="003B58FA"/>
    <w:rsid w:val="003B6881"/>
    <w:rsid w:val="003C1637"/>
    <w:rsid w:val="003C1AA2"/>
    <w:rsid w:val="003C3161"/>
    <w:rsid w:val="003C4E4F"/>
    <w:rsid w:val="003C659C"/>
    <w:rsid w:val="003C75C0"/>
    <w:rsid w:val="003D0401"/>
    <w:rsid w:val="003D0AB7"/>
    <w:rsid w:val="003D3F15"/>
    <w:rsid w:val="003D5D75"/>
    <w:rsid w:val="003D6C7A"/>
    <w:rsid w:val="003E1435"/>
    <w:rsid w:val="003E6CEA"/>
    <w:rsid w:val="003E72CB"/>
    <w:rsid w:val="003F2630"/>
    <w:rsid w:val="003F27D3"/>
    <w:rsid w:val="003F2D5D"/>
    <w:rsid w:val="003F3EAB"/>
    <w:rsid w:val="004017AA"/>
    <w:rsid w:val="00403E56"/>
    <w:rsid w:val="00404F96"/>
    <w:rsid w:val="004104A2"/>
    <w:rsid w:val="004121AC"/>
    <w:rsid w:val="00412487"/>
    <w:rsid w:val="004143DD"/>
    <w:rsid w:val="00417B30"/>
    <w:rsid w:val="004202AE"/>
    <w:rsid w:val="00421E9B"/>
    <w:rsid w:val="00421FAF"/>
    <w:rsid w:val="00423F5D"/>
    <w:rsid w:val="0042492D"/>
    <w:rsid w:val="004268F4"/>
    <w:rsid w:val="004319B3"/>
    <w:rsid w:val="004325D6"/>
    <w:rsid w:val="004368C7"/>
    <w:rsid w:val="00436D2C"/>
    <w:rsid w:val="0044513A"/>
    <w:rsid w:val="00446A56"/>
    <w:rsid w:val="004502C4"/>
    <w:rsid w:val="00451664"/>
    <w:rsid w:val="00452775"/>
    <w:rsid w:val="00452928"/>
    <w:rsid w:val="00452FAA"/>
    <w:rsid w:val="004540C8"/>
    <w:rsid w:val="00455371"/>
    <w:rsid w:val="00456C3D"/>
    <w:rsid w:val="004570F6"/>
    <w:rsid w:val="0046142B"/>
    <w:rsid w:val="00461DA5"/>
    <w:rsid w:val="00470C7C"/>
    <w:rsid w:val="004730FF"/>
    <w:rsid w:val="004741D0"/>
    <w:rsid w:val="00475B8C"/>
    <w:rsid w:val="00476FAC"/>
    <w:rsid w:val="00476FDE"/>
    <w:rsid w:val="00477901"/>
    <w:rsid w:val="004801CF"/>
    <w:rsid w:val="00483D28"/>
    <w:rsid w:val="00485B3E"/>
    <w:rsid w:val="00495678"/>
    <w:rsid w:val="004A279C"/>
    <w:rsid w:val="004A3495"/>
    <w:rsid w:val="004A56D1"/>
    <w:rsid w:val="004A6939"/>
    <w:rsid w:val="004A7218"/>
    <w:rsid w:val="004B3987"/>
    <w:rsid w:val="004B4E20"/>
    <w:rsid w:val="004B62DC"/>
    <w:rsid w:val="004C2808"/>
    <w:rsid w:val="004C3945"/>
    <w:rsid w:val="004C3D51"/>
    <w:rsid w:val="004C5B59"/>
    <w:rsid w:val="004C5E1E"/>
    <w:rsid w:val="004C65C0"/>
    <w:rsid w:val="004C7388"/>
    <w:rsid w:val="004D2160"/>
    <w:rsid w:val="004D3638"/>
    <w:rsid w:val="004D51A2"/>
    <w:rsid w:val="004D5E6C"/>
    <w:rsid w:val="004E5004"/>
    <w:rsid w:val="004F2916"/>
    <w:rsid w:val="004F305B"/>
    <w:rsid w:val="004F3BEC"/>
    <w:rsid w:val="004F40DD"/>
    <w:rsid w:val="004F605F"/>
    <w:rsid w:val="004F710C"/>
    <w:rsid w:val="005018A4"/>
    <w:rsid w:val="0050264A"/>
    <w:rsid w:val="00502C2F"/>
    <w:rsid w:val="005059CE"/>
    <w:rsid w:val="0051202C"/>
    <w:rsid w:val="005144DF"/>
    <w:rsid w:val="00521957"/>
    <w:rsid w:val="00525065"/>
    <w:rsid w:val="005264EE"/>
    <w:rsid w:val="00532D03"/>
    <w:rsid w:val="005352F0"/>
    <w:rsid w:val="00536E54"/>
    <w:rsid w:val="00542D7C"/>
    <w:rsid w:val="00544A7E"/>
    <w:rsid w:val="005477C1"/>
    <w:rsid w:val="00553A69"/>
    <w:rsid w:val="00553AA6"/>
    <w:rsid w:val="00555AD6"/>
    <w:rsid w:val="005574EF"/>
    <w:rsid w:val="0056032E"/>
    <w:rsid w:val="00562DC7"/>
    <w:rsid w:val="00562E99"/>
    <w:rsid w:val="00563F64"/>
    <w:rsid w:val="00564A5F"/>
    <w:rsid w:val="00565181"/>
    <w:rsid w:val="00567ECF"/>
    <w:rsid w:val="005709B4"/>
    <w:rsid w:val="005730A5"/>
    <w:rsid w:val="005733B4"/>
    <w:rsid w:val="00575E1B"/>
    <w:rsid w:val="00580BD7"/>
    <w:rsid w:val="005837C5"/>
    <w:rsid w:val="00583A10"/>
    <w:rsid w:val="00583ABB"/>
    <w:rsid w:val="00584623"/>
    <w:rsid w:val="00584C28"/>
    <w:rsid w:val="0058604B"/>
    <w:rsid w:val="00586B46"/>
    <w:rsid w:val="00587540"/>
    <w:rsid w:val="00590723"/>
    <w:rsid w:val="005920E1"/>
    <w:rsid w:val="005A08F9"/>
    <w:rsid w:val="005A0DAF"/>
    <w:rsid w:val="005A2AA4"/>
    <w:rsid w:val="005B1A7F"/>
    <w:rsid w:val="005B48DD"/>
    <w:rsid w:val="005B533A"/>
    <w:rsid w:val="005B5634"/>
    <w:rsid w:val="005B6033"/>
    <w:rsid w:val="005B6414"/>
    <w:rsid w:val="005B6767"/>
    <w:rsid w:val="005B7DCB"/>
    <w:rsid w:val="005C76A5"/>
    <w:rsid w:val="005D0CB1"/>
    <w:rsid w:val="005D2C8F"/>
    <w:rsid w:val="005E0310"/>
    <w:rsid w:val="005E2C1D"/>
    <w:rsid w:val="005E3A0C"/>
    <w:rsid w:val="005E54D3"/>
    <w:rsid w:val="005E61B3"/>
    <w:rsid w:val="005E6CFB"/>
    <w:rsid w:val="005E7EE0"/>
    <w:rsid w:val="005F034E"/>
    <w:rsid w:val="005F043B"/>
    <w:rsid w:val="005F13B0"/>
    <w:rsid w:val="005F2608"/>
    <w:rsid w:val="005F3E5A"/>
    <w:rsid w:val="005F7013"/>
    <w:rsid w:val="00600096"/>
    <w:rsid w:val="0060020B"/>
    <w:rsid w:val="00600AC4"/>
    <w:rsid w:val="00600C3E"/>
    <w:rsid w:val="00600DA9"/>
    <w:rsid w:val="006014B6"/>
    <w:rsid w:val="0060153A"/>
    <w:rsid w:val="00604784"/>
    <w:rsid w:val="00612190"/>
    <w:rsid w:val="00613FC4"/>
    <w:rsid w:val="00616664"/>
    <w:rsid w:val="006176B3"/>
    <w:rsid w:val="0062115A"/>
    <w:rsid w:val="00622ACD"/>
    <w:rsid w:val="00625BC9"/>
    <w:rsid w:val="00625DE5"/>
    <w:rsid w:val="00630B63"/>
    <w:rsid w:val="00633748"/>
    <w:rsid w:val="006356FA"/>
    <w:rsid w:val="006360CA"/>
    <w:rsid w:val="0064230E"/>
    <w:rsid w:val="00643E92"/>
    <w:rsid w:val="00646890"/>
    <w:rsid w:val="00646ECD"/>
    <w:rsid w:val="006510D2"/>
    <w:rsid w:val="00652A24"/>
    <w:rsid w:val="006538E4"/>
    <w:rsid w:val="0065550B"/>
    <w:rsid w:val="00656D40"/>
    <w:rsid w:val="006574D3"/>
    <w:rsid w:val="00657F32"/>
    <w:rsid w:val="00664068"/>
    <w:rsid w:val="006644AC"/>
    <w:rsid w:val="006650C9"/>
    <w:rsid w:val="00665ADD"/>
    <w:rsid w:val="006666D3"/>
    <w:rsid w:val="006671ED"/>
    <w:rsid w:val="0066740F"/>
    <w:rsid w:val="00672248"/>
    <w:rsid w:val="00674F49"/>
    <w:rsid w:val="00682156"/>
    <w:rsid w:val="00684734"/>
    <w:rsid w:val="006856EC"/>
    <w:rsid w:val="00692775"/>
    <w:rsid w:val="006948C1"/>
    <w:rsid w:val="006A1D80"/>
    <w:rsid w:val="006A21B7"/>
    <w:rsid w:val="006A31CD"/>
    <w:rsid w:val="006A3552"/>
    <w:rsid w:val="006A3FB9"/>
    <w:rsid w:val="006A5ECC"/>
    <w:rsid w:val="006A7C5D"/>
    <w:rsid w:val="006B2603"/>
    <w:rsid w:val="006B2D08"/>
    <w:rsid w:val="006B32EF"/>
    <w:rsid w:val="006B7158"/>
    <w:rsid w:val="006C1DD6"/>
    <w:rsid w:val="006C25FA"/>
    <w:rsid w:val="006C3106"/>
    <w:rsid w:val="006C4FEB"/>
    <w:rsid w:val="006C54EC"/>
    <w:rsid w:val="006D0907"/>
    <w:rsid w:val="006D216A"/>
    <w:rsid w:val="006D4F08"/>
    <w:rsid w:val="006D4F64"/>
    <w:rsid w:val="006E4909"/>
    <w:rsid w:val="006E5582"/>
    <w:rsid w:val="006E626F"/>
    <w:rsid w:val="006E7E0E"/>
    <w:rsid w:val="006F3250"/>
    <w:rsid w:val="006F40DA"/>
    <w:rsid w:val="006F4DD1"/>
    <w:rsid w:val="00702352"/>
    <w:rsid w:val="0070265F"/>
    <w:rsid w:val="00705A21"/>
    <w:rsid w:val="007108F6"/>
    <w:rsid w:val="007115FB"/>
    <w:rsid w:val="00711FAD"/>
    <w:rsid w:val="00712787"/>
    <w:rsid w:val="00715D1E"/>
    <w:rsid w:val="0071635E"/>
    <w:rsid w:val="0072084B"/>
    <w:rsid w:val="00722016"/>
    <w:rsid w:val="00723497"/>
    <w:rsid w:val="00723D16"/>
    <w:rsid w:val="00725391"/>
    <w:rsid w:val="00732331"/>
    <w:rsid w:val="00732EB8"/>
    <w:rsid w:val="00733AB9"/>
    <w:rsid w:val="007344C8"/>
    <w:rsid w:val="00736848"/>
    <w:rsid w:val="00741FC1"/>
    <w:rsid w:val="007432E5"/>
    <w:rsid w:val="007459FC"/>
    <w:rsid w:val="00747086"/>
    <w:rsid w:val="00750B91"/>
    <w:rsid w:val="007514AE"/>
    <w:rsid w:val="00752045"/>
    <w:rsid w:val="00755555"/>
    <w:rsid w:val="00756239"/>
    <w:rsid w:val="00756B74"/>
    <w:rsid w:val="00756E3E"/>
    <w:rsid w:val="00761461"/>
    <w:rsid w:val="00762EE2"/>
    <w:rsid w:val="007634D8"/>
    <w:rsid w:val="0076459D"/>
    <w:rsid w:val="0076520C"/>
    <w:rsid w:val="007668E7"/>
    <w:rsid w:val="00770F99"/>
    <w:rsid w:val="007735A4"/>
    <w:rsid w:val="00773BE4"/>
    <w:rsid w:val="00776E17"/>
    <w:rsid w:val="007774D6"/>
    <w:rsid w:val="0077761B"/>
    <w:rsid w:val="00780162"/>
    <w:rsid w:val="0078042B"/>
    <w:rsid w:val="0078053A"/>
    <w:rsid w:val="00780F09"/>
    <w:rsid w:val="00781A93"/>
    <w:rsid w:val="007843A9"/>
    <w:rsid w:val="00784AB1"/>
    <w:rsid w:val="00784C18"/>
    <w:rsid w:val="00784D86"/>
    <w:rsid w:val="007853AF"/>
    <w:rsid w:val="00786090"/>
    <w:rsid w:val="007871C5"/>
    <w:rsid w:val="00787405"/>
    <w:rsid w:val="00787F25"/>
    <w:rsid w:val="0079042E"/>
    <w:rsid w:val="00792300"/>
    <w:rsid w:val="00795353"/>
    <w:rsid w:val="00796D12"/>
    <w:rsid w:val="007979FA"/>
    <w:rsid w:val="007A0FF0"/>
    <w:rsid w:val="007A2C02"/>
    <w:rsid w:val="007A5A11"/>
    <w:rsid w:val="007A71C3"/>
    <w:rsid w:val="007B417B"/>
    <w:rsid w:val="007B4344"/>
    <w:rsid w:val="007B4623"/>
    <w:rsid w:val="007B661A"/>
    <w:rsid w:val="007B67D9"/>
    <w:rsid w:val="007C0198"/>
    <w:rsid w:val="007C2567"/>
    <w:rsid w:val="007C36B0"/>
    <w:rsid w:val="007C508C"/>
    <w:rsid w:val="007C670F"/>
    <w:rsid w:val="007C73C2"/>
    <w:rsid w:val="007D119B"/>
    <w:rsid w:val="007D2F91"/>
    <w:rsid w:val="007D4132"/>
    <w:rsid w:val="007D4306"/>
    <w:rsid w:val="007D7CBF"/>
    <w:rsid w:val="007E2105"/>
    <w:rsid w:val="007E2A6B"/>
    <w:rsid w:val="007E2E89"/>
    <w:rsid w:val="007E5E6A"/>
    <w:rsid w:val="007E6107"/>
    <w:rsid w:val="007E7C61"/>
    <w:rsid w:val="007E7F5B"/>
    <w:rsid w:val="007F2A4E"/>
    <w:rsid w:val="007F522B"/>
    <w:rsid w:val="007F72DE"/>
    <w:rsid w:val="008033C8"/>
    <w:rsid w:val="00803934"/>
    <w:rsid w:val="00804AF5"/>
    <w:rsid w:val="00805151"/>
    <w:rsid w:val="008067A1"/>
    <w:rsid w:val="0080689B"/>
    <w:rsid w:val="008120FB"/>
    <w:rsid w:val="00812E60"/>
    <w:rsid w:val="00816B4D"/>
    <w:rsid w:val="00824CEE"/>
    <w:rsid w:val="00825135"/>
    <w:rsid w:val="00827387"/>
    <w:rsid w:val="008274A1"/>
    <w:rsid w:val="00827F8F"/>
    <w:rsid w:val="00832714"/>
    <w:rsid w:val="00833A0B"/>
    <w:rsid w:val="00837DF6"/>
    <w:rsid w:val="00837E5A"/>
    <w:rsid w:val="0084045E"/>
    <w:rsid w:val="00841378"/>
    <w:rsid w:val="00843B03"/>
    <w:rsid w:val="0084765A"/>
    <w:rsid w:val="008510B4"/>
    <w:rsid w:val="0085188B"/>
    <w:rsid w:val="00863282"/>
    <w:rsid w:val="008639DE"/>
    <w:rsid w:val="008643B9"/>
    <w:rsid w:val="00864726"/>
    <w:rsid w:val="00864874"/>
    <w:rsid w:val="008661A3"/>
    <w:rsid w:val="00866FBB"/>
    <w:rsid w:val="00872369"/>
    <w:rsid w:val="00874D3E"/>
    <w:rsid w:val="00874F34"/>
    <w:rsid w:val="008756F5"/>
    <w:rsid w:val="00876526"/>
    <w:rsid w:val="00876569"/>
    <w:rsid w:val="00877E94"/>
    <w:rsid w:val="0088277A"/>
    <w:rsid w:val="008840D4"/>
    <w:rsid w:val="00884516"/>
    <w:rsid w:val="008858BD"/>
    <w:rsid w:val="008874B2"/>
    <w:rsid w:val="008904E9"/>
    <w:rsid w:val="00891DB8"/>
    <w:rsid w:val="00892A95"/>
    <w:rsid w:val="00892EA6"/>
    <w:rsid w:val="00893E4C"/>
    <w:rsid w:val="00896E94"/>
    <w:rsid w:val="008A0746"/>
    <w:rsid w:val="008A0B9C"/>
    <w:rsid w:val="008A1871"/>
    <w:rsid w:val="008A1A63"/>
    <w:rsid w:val="008A4146"/>
    <w:rsid w:val="008A422F"/>
    <w:rsid w:val="008A4FDD"/>
    <w:rsid w:val="008A710E"/>
    <w:rsid w:val="008B00D8"/>
    <w:rsid w:val="008B59D4"/>
    <w:rsid w:val="008B628B"/>
    <w:rsid w:val="008C1351"/>
    <w:rsid w:val="008C37D4"/>
    <w:rsid w:val="008C39E3"/>
    <w:rsid w:val="008C4153"/>
    <w:rsid w:val="008C4658"/>
    <w:rsid w:val="008C7A0C"/>
    <w:rsid w:val="008D1854"/>
    <w:rsid w:val="008D1C4F"/>
    <w:rsid w:val="008D3DA3"/>
    <w:rsid w:val="008D5035"/>
    <w:rsid w:val="008D7415"/>
    <w:rsid w:val="008D7A94"/>
    <w:rsid w:val="008E561F"/>
    <w:rsid w:val="008E7897"/>
    <w:rsid w:val="008F15F8"/>
    <w:rsid w:val="008F1BB7"/>
    <w:rsid w:val="008F4180"/>
    <w:rsid w:val="0090031A"/>
    <w:rsid w:val="009027F5"/>
    <w:rsid w:val="009047CE"/>
    <w:rsid w:val="0090577A"/>
    <w:rsid w:val="00905E00"/>
    <w:rsid w:val="00907A39"/>
    <w:rsid w:val="00907A6D"/>
    <w:rsid w:val="0091071F"/>
    <w:rsid w:val="00914984"/>
    <w:rsid w:val="00915B65"/>
    <w:rsid w:val="0091636D"/>
    <w:rsid w:val="00916B5E"/>
    <w:rsid w:val="009212F8"/>
    <w:rsid w:val="00921683"/>
    <w:rsid w:val="0092292C"/>
    <w:rsid w:val="00924AE9"/>
    <w:rsid w:val="00926C4A"/>
    <w:rsid w:val="00927A4A"/>
    <w:rsid w:val="00930261"/>
    <w:rsid w:val="00932C2D"/>
    <w:rsid w:val="009336A1"/>
    <w:rsid w:val="00935684"/>
    <w:rsid w:val="00944950"/>
    <w:rsid w:val="00945DA4"/>
    <w:rsid w:val="00953782"/>
    <w:rsid w:val="009540F7"/>
    <w:rsid w:val="009546DE"/>
    <w:rsid w:val="00961036"/>
    <w:rsid w:val="009621FA"/>
    <w:rsid w:val="0096256D"/>
    <w:rsid w:val="0096299B"/>
    <w:rsid w:val="00965226"/>
    <w:rsid w:val="009652C2"/>
    <w:rsid w:val="0096725C"/>
    <w:rsid w:val="0097089F"/>
    <w:rsid w:val="00972203"/>
    <w:rsid w:val="00983903"/>
    <w:rsid w:val="00984538"/>
    <w:rsid w:val="009871FA"/>
    <w:rsid w:val="00987C08"/>
    <w:rsid w:val="009907F7"/>
    <w:rsid w:val="00993BC4"/>
    <w:rsid w:val="00993F15"/>
    <w:rsid w:val="00994623"/>
    <w:rsid w:val="00994D9E"/>
    <w:rsid w:val="0099626F"/>
    <w:rsid w:val="009A08A0"/>
    <w:rsid w:val="009A0AC2"/>
    <w:rsid w:val="009A1FB0"/>
    <w:rsid w:val="009A477F"/>
    <w:rsid w:val="009A6DDA"/>
    <w:rsid w:val="009A7F9A"/>
    <w:rsid w:val="009B054E"/>
    <w:rsid w:val="009B2F2C"/>
    <w:rsid w:val="009B47A5"/>
    <w:rsid w:val="009B4E5D"/>
    <w:rsid w:val="009B68D8"/>
    <w:rsid w:val="009C2330"/>
    <w:rsid w:val="009C6597"/>
    <w:rsid w:val="009C7CCC"/>
    <w:rsid w:val="009D3CBE"/>
    <w:rsid w:val="009D5C3E"/>
    <w:rsid w:val="009D5C44"/>
    <w:rsid w:val="009E1E12"/>
    <w:rsid w:val="009E2CBA"/>
    <w:rsid w:val="009E439F"/>
    <w:rsid w:val="009E56CF"/>
    <w:rsid w:val="009F1138"/>
    <w:rsid w:val="009F4326"/>
    <w:rsid w:val="009F6489"/>
    <w:rsid w:val="009F6BE4"/>
    <w:rsid w:val="00A00444"/>
    <w:rsid w:val="00A00776"/>
    <w:rsid w:val="00A01B21"/>
    <w:rsid w:val="00A0239D"/>
    <w:rsid w:val="00A0252E"/>
    <w:rsid w:val="00A03B0B"/>
    <w:rsid w:val="00A041D2"/>
    <w:rsid w:val="00A04930"/>
    <w:rsid w:val="00A076F8"/>
    <w:rsid w:val="00A07F15"/>
    <w:rsid w:val="00A130DE"/>
    <w:rsid w:val="00A1638B"/>
    <w:rsid w:val="00A2018B"/>
    <w:rsid w:val="00A2081B"/>
    <w:rsid w:val="00A2146A"/>
    <w:rsid w:val="00A27325"/>
    <w:rsid w:val="00A27F15"/>
    <w:rsid w:val="00A300F4"/>
    <w:rsid w:val="00A30C07"/>
    <w:rsid w:val="00A30CB9"/>
    <w:rsid w:val="00A32F19"/>
    <w:rsid w:val="00A353B4"/>
    <w:rsid w:val="00A358DB"/>
    <w:rsid w:val="00A36970"/>
    <w:rsid w:val="00A40586"/>
    <w:rsid w:val="00A42833"/>
    <w:rsid w:val="00A42B11"/>
    <w:rsid w:val="00A430EE"/>
    <w:rsid w:val="00A453BE"/>
    <w:rsid w:val="00A46016"/>
    <w:rsid w:val="00A461A1"/>
    <w:rsid w:val="00A5048F"/>
    <w:rsid w:val="00A50812"/>
    <w:rsid w:val="00A53786"/>
    <w:rsid w:val="00A538C9"/>
    <w:rsid w:val="00A55137"/>
    <w:rsid w:val="00A55BF1"/>
    <w:rsid w:val="00A6423B"/>
    <w:rsid w:val="00A6668F"/>
    <w:rsid w:val="00A704C2"/>
    <w:rsid w:val="00A7445C"/>
    <w:rsid w:val="00A75607"/>
    <w:rsid w:val="00A75FD4"/>
    <w:rsid w:val="00A8071E"/>
    <w:rsid w:val="00A812C2"/>
    <w:rsid w:val="00A846C4"/>
    <w:rsid w:val="00A847BB"/>
    <w:rsid w:val="00A84A73"/>
    <w:rsid w:val="00A91654"/>
    <w:rsid w:val="00A92F70"/>
    <w:rsid w:val="00A9301C"/>
    <w:rsid w:val="00A93C4F"/>
    <w:rsid w:val="00A95486"/>
    <w:rsid w:val="00A979BE"/>
    <w:rsid w:val="00AA0E59"/>
    <w:rsid w:val="00AA34B6"/>
    <w:rsid w:val="00AA4C62"/>
    <w:rsid w:val="00AA4F40"/>
    <w:rsid w:val="00AB2C9C"/>
    <w:rsid w:val="00AB336F"/>
    <w:rsid w:val="00AB3A17"/>
    <w:rsid w:val="00AB5E51"/>
    <w:rsid w:val="00AB6080"/>
    <w:rsid w:val="00AC169D"/>
    <w:rsid w:val="00AC3179"/>
    <w:rsid w:val="00AC3533"/>
    <w:rsid w:val="00AC405F"/>
    <w:rsid w:val="00AC6B26"/>
    <w:rsid w:val="00AD4FC0"/>
    <w:rsid w:val="00AD58B5"/>
    <w:rsid w:val="00AD5994"/>
    <w:rsid w:val="00AD6DD3"/>
    <w:rsid w:val="00AD7014"/>
    <w:rsid w:val="00AD7211"/>
    <w:rsid w:val="00AE2F81"/>
    <w:rsid w:val="00AE46D8"/>
    <w:rsid w:val="00AE5097"/>
    <w:rsid w:val="00AF018F"/>
    <w:rsid w:val="00B032C4"/>
    <w:rsid w:val="00B03462"/>
    <w:rsid w:val="00B03D82"/>
    <w:rsid w:val="00B06085"/>
    <w:rsid w:val="00B06D87"/>
    <w:rsid w:val="00B06EDC"/>
    <w:rsid w:val="00B13144"/>
    <w:rsid w:val="00B13547"/>
    <w:rsid w:val="00B1379B"/>
    <w:rsid w:val="00B1472B"/>
    <w:rsid w:val="00B21519"/>
    <w:rsid w:val="00B22497"/>
    <w:rsid w:val="00B2305E"/>
    <w:rsid w:val="00B2326B"/>
    <w:rsid w:val="00B25141"/>
    <w:rsid w:val="00B268AF"/>
    <w:rsid w:val="00B275D1"/>
    <w:rsid w:val="00B32D7B"/>
    <w:rsid w:val="00B350A4"/>
    <w:rsid w:val="00B3519D"/>
    <w:rsid w:val="00B36EB4"/>
    <w:rsid w:val="00B44039"/>
    <w:rsid w:val="00B44229"/>
    <w:rsid w:val="00B44A1A"/>
    <w:rsid w:val="00B44DCD"/>
    <w:rsid w:val="00B52C7D"/>
    <w:rsid w:val="00B53445"/>
    <w:rsid w:val="00B53776"/>
    <w:rsid w:val="00B5393B"/>
    <w:rsid w:val="00B53AB8"/>
    <w:rsid w:val="00B543D2"/>
    <w:rsid w:val="00B5611B"/>
    <w:rsid w:val="00B6048C"/>
    <w:rsid w:val="00B62CCD"/>
    <w:rsid w:val="00B67F0E"/>
    <w:rsid w:val="00B708E9"/>
    <w:rsid w:val="00B7191B"/>
    <w:rsid w:val="00B77D52"/>
    <w:rsid w:val="00B8364C"/>
    <w:rsid w:val="00B85BB2"/>
    <w:rsid w:val="00B86964"/>
    <w:rsid w:val="00B9137A"/>
    <w:rsid w:val="00B91F8B"/>
    <w:rsid w:val="00B96B7B"/>
    <w:rsid w:val="00BA7666"/>
    <w:rsid w:val="00BA78F8"/>
    <w:rsid w:val="00BA7E28"/>
    <w:rsid w:val="00BB04E5"/>
    <w:rsid w:val="00BB1878"/>
    <w:rsid w:val="00BB35C3"/>
    <w:rsid w:val="00BB4E00"/>
    <w:rsid w:val="00BB67E8"/>
    <w:rsid w:val="00BC11C9"/>
    <w:rsid w:val="00BC24F7"/>
    <w:rsid w:val="00BC318B"/>
    <w:rsid w:val="00BC5BEE"/>
    <w:rsid w:val="00BC645E"/>
    <w:rsid w:val="00BC7036"/>
    <w:rsid w:val="00BD043C"/>
    <w:rsid w:val="00BD0C8E"/>
    <w:rsid w:val="00BD25CB"/>
    <w:rsid w:val="00BD27CF"/>
    <w:rsid w:val="00BD484F"/>
    <w:rsid w:val="00BD4D27"/>
    <w:rsid w:val="00BD5D97"/>
    <w:rsid w:val="00BD7F0A"/>
    <w:rsid w:val="00BE0294"/>
    <w:rsid w:val="00BE0418"/>
    <w:rsid w:val="00BE2828"/>
    <w:rsid w:val="00BE3635"/>
    <w:rsid w:val="00BE3A43"/>
    <w:rsid w:val="00BE62B6"/>
    <w:rsid w:val="00BE6DF4"/>
    <w:rsid w:val="00BF3E6B"/>
    <w:rsid w:val="00BF514C"/>
    <w:rsid w:val="00BF5353"/>
    <w:rsid w:val="00BF5B3F"/>
    <w:rsid w:val="00BF5B7C"/>
    <w:rsid w:val="00BF6012"/>
    <w:rsid w:val="00BF675A"/>
    <w:rsid w:val="00BF7BE1"/>
    <w:rsid w:val="00C01C3B"/>
    <w:rsid w:val="00C030FD"/>
    <w:rsid w:val="00C03E68"/>
    <w:rsid w:val="00C04BA5"/>
    <w:rsid w:val="00C04BBB"/>
    <w:rsid w:val="00C05483"/>
    <w:rsid w:val="00C05F3C"/>
    <w:rsid w:val="00C10CB9"/>
    <w:rsid w:val="00C114C4"/>
    <w:rsid w:val="00C139FE"/>
    <w:rsid w:val="00C1407F"/>
    <w:rsid w:val="00C15558"/>
    <w:rsid w:val="00C21616"/>
    <w:rsid w:val="00C22EEA"/>
    <w:rsid w:val="00C25AD2"/>
    <w:rsid w:val="00C26EB4"/>
    <w:rsid w:val="00C32F2C"/>
    <w:rsid w:val="00C339C1"/>
    <w:rsid w:val="00C35360"/>
    <w:rsid w:val="00C41076"/>
    <w:rsid w:val="00C41B4F"/>
    <w:rsid w:val="00C41D41"/>
    <w:rsid w:val="00C46205"/>
    <w:rsid w:val="00C53851"/>
    <w:rsid w:val="00C57A99"/>
    <w:rsid w:val="00C60645"/>
    <w:rsid w:val="00C60B70"/>
    <w:rsid w:val="00C61AD7"/>
    <w:rsid w:val="00C64144"/>
    <w:rsid w:val="00C6525E"/>
    <w:rsid w:val="00C66CB6"/>
    <w:rsid w:val="00C72FC9"/>
    <w:rsid w:val="00C77529"/>
    <w:rsid w:val="00C80494"/>
    <w:rsid w:val="00C83946"/>
    <w:rsid w:val="00C83C34"/>
    <w:rsid w:val="00C8541B"/>
    <w:rsid w:val="00C86433"/>
    <w:rsid w:val="00C86F3B"/>
    <w:rsid w:val="00C8758B"/>
    <w:rsid w:val="00C91A49"/>
    <w:rsid w:val="00C92543"/>
    <w:rsid w:val="00C934D3"/>
    <w:rsid w:val="00CA2384"/>
    <w:rsid w:val="00CA38C7"/>
    <w:rsid w:val="00CA4727"/>
    <w:rsid w:val="00CA4B04"/>
    <w:rsid w:val="00CA6C99"/>
    <w:rsid w:val="00CB0285"/>
    <w:rsid w:val="00CB0DAE"/>
    <w:rsid w:val="00CB1103"/>
    <w:rsid w:val="00CB176F"/>
    <w:rsid w:val="00CB1CDA"/>
    <w:rsid w:val="00CB231C"/>
    <w:rsid w:val="00CB3FDC"/>
    <w:rsid w:val="00CB67FE"/>
    <w:rsid w:val="00CB71DC"/>
    <w:rsid w:val="00CC0543"/>
    <w:rsid w:val="00CC090A"/>
    <w:rsid w:val="00CC1944"/>
    <w:rsid w:val="00CC208E"/>
    <w:rsid w:val="00CC4450"/>
    <w:rsid w:val="00CC50CA"/>
    <w:rsid w:val="00CC5C31"/>
    <w:rsid w:val="00CC6A9C"/>
    <w:rsid w:val="00CD02A2"/>
    <w:rsid w:val="00CD1892"/>
    <w:rsid w:val="00CD3890"/>
    <w:rsid w:val="00CD3CBD"/>
    <w:rsid w:val="00CD4811"/>
    <w:rsid w:val="00CD580C"/>
    <w:rsid w:val="00CE15BC"/>
    <w:rsid w:val="00CE1948"/>
    <w:rsid w:val="00CE4CDA"/>
    <w:rsid w:val="00CE608D"/>
    <w:rsid w:val="00CF2726"/>
    <w:rsid w:val="00CF50BF"/>
    <w:rsid w:val="00CF531D"/>
    <w:rsid w:val="00CF65B2"/>
    <w:rsid w:val="00D01BC9"/>
    <w:rsid w:val="00D02643"/>
    <w:rsid w:val="00D03C12"/>
    <w:rsid w:val="00D0518D"/>
    <w:rsid w:val="00D05A0A"/>
    <w:rsid w:val="00D06478"/>
    <w:rsid w:val="00D06A2A"/>
    <w:rsid w:val="00D14177"/>
    <w:rsid w:val="00D154DF"/>
    <w:rsid w:val="00D17399"/>
    <w:rsid w:val="00D17594"/>
    <w:rsid w:val="00D208DE"/>
    <w:rsid w:val="00D245DF"/>
    <w:rsid w:val="00D2472D"/>
    <w:rsid w:val="00D251ED"/>
    <w:rsid w:val="00D274A6"/>
    <w:rsid w:val="00D27ACF"/>
    <w:rsid w:val="00D27DD2"/>
    <w:rsid w:val="00D27DEF"/>
    <w:rsid w:val="00D33035"/>
    <w:rsid w:val="00D37C27"/>
    <w:rsid w:val="00D4016C"/>
    <w:rsid w:val="00D40410"/>
    <w:rsid w:val="00D40520"/>
    <w:rsid w:val="00D4324D"/>
    <w:rsid w:val="00D45DA7"/>
    <w:rsid w:val="00D46A3D"/>
    <w:rsid w:val="00D50A26"/>
    <w:rsid w:val="00D51D0A"/>
    <w:rsid w:val="00D53546"/>
    <w:rsid w:val="00D55906"/>
    <w:rsid w:val="00D55F93"/>
    <w:rsid w:val="00D5769A"/>
    <w:rsid w:val="00D60B3B"/>
    <w:rsid w:val="00D62AF0"/>
    <w:rsid w:val="00D6722F"/>
    <w:rsid w:val="00D67952"/>
    <w:rsid w:val="00D67BE5"/>
    <w:rsid w:val="00D71412"/>
    <w:rsid w:val="00D7167D"/>
    <w:rsid w:val="00D71942"/>
    <w:rsid w:val="00D83151"/>
    <w:rsid w:val="00D8D1F9"/>
    <w:rsid w:val="00D903AB"/>
    <w:rsid w:val="00D9305D"/>
    <w:rsid w:val="00D933F6"/>
    <w:rsid w:val="00D94E90"/>
    <w:rsid w:val="00D953C5"/>
    <w:rsid w:val="00D96ED2"/>
    <w:rsid w:val="00DA00A9"/>
    <w:rsid w:val="00DA0419"/>
    <w:rsid w:val="00DA3947"/>
    <w:rsid w:val="00DA7CCB"/>
    <w:rsid w:val="00DB31EE"/>
    <w:rsid w:val="00DB33F6"/>
    <w:rsid w:val="00DB37BF"/>
    <w:rsid w:val="00DB3C8A"/>
    <w:rsid w:val="00DB43F8"/>
    <w:rsid w:val="00DB52D7"/>
    <w:rsid w:val="00DB7092"/>
    <w:rsid w:val="00DC007A"/>
    <w:rsid w:val="00DC14EC"/>
    <w:rsid w:val="00DC1841"/>
    <w:rsid w:val="00DC1B99"/>
    <w:rsid w:val="00DC3672"/>
    <w:rsid w:val="00DC3FF3"/>
    <w:rsid w:val="00DC466D"/>
    <w:rsid w:val="00DC53F6"/>
    <w:rsid w:val="00DC79F2"/>
    <w:rsid w:val="00DD1731"/>
    <w:rsid w:val="00DD1A46"/>
    <w:rsid w:val="00DD1CF1"/>
    <w:rsid w:val="00DD2CD5"/>
    <w:rsid w:val="00DD4659"/>
    <w:rsid w:val="00DD4A60"/>
    <w:rsid w:val="00DE4D7F"/>
    <w:rsid w:val="00DE6831"/>
    <w:rsid w:val="00DF09BF"/>
    <w:rsid w:val="00DF0EEA"/>
    <w:rsid w:val="00DF2247"/>
    <w:rsid w:val="00DF236F"/>
    <w:rsid w:val="00DF39BF"/>
    <w:rsid w:val="00DF76B3"/>
    <w:rsid w:val="00E000D7"/>
    <w:rsid w:val="00E03FA5"/>
    <w:rsid w:val="00E04275"/>
    <w:rsid w:val="00E05E01"/>
    <w:rsid w:val="00E118AB"/>
    <w:rsid w:val="00E119A2"/>
    <w:rsid w:val="00E13CE6"/>
    <w:rsid w:val="00E15111"/>
    <w:rsid w:val="00E16023"/>
    <w:rsid w:val="00E2031B"/>
    <w:rsid w:val="00E20F9A"/>
    <w:rsid w:val="00E217AB"/>
    <w:rsid w:val="00E21AA2"/>
    <w:rsid w:val="00E22210"/>
    <w:rsid w:val="00E22230"/>
    <w:rsid w:val="00E22405"/>
    <w:rsid w:val="00E22D4A"/>
    <w:rsid w:val="00E23FCB"/>
    <w:rsid w:val="00E30305"/>
    <w:rsid w:val="00E317D1"/>
    <w:rsid w:val="00E32878"/>
    <w:rsid w:val="00E33832"/>
    <w:rsid w:val="00E37113"/>
    <w:rsid w:val="00E37C6A"/>
    <w:rsid w:val="00E4035F"/>
    <w:rsid w:val="00E40B83"/>
    <w:rsid w:val="00E40F1D"/>
    <w:rsid w:val="00E456B7"/>
    <w:rsid w:val="00E45A5E"/>
    <w:rsid w:val="00E5064B"/>
    <w:rsid w:val="00E5600D"/>
    <w:rsid w:val="00E6020E"/>
    <w:rsid w:val="00E65AC9"/>
    <w:rsid w:val="00E66459"/>
    <w:rsid w:val="00E67CC0"/>
    <w:rsid w:val="00E7042D"/>
    <w:rsid w:val="00E70B38"/>
    <w:rsid w:val="00E71551"/>
    <w:rsid w:val="00E73727"/>
    <w:rsid w:val="00E80927"/>
    <w:rsid w:val="00E82751"/>
    <w:rsid w:val="00E83A2D"/>
    <w:rsid w:val="00E83F11"/>
    <w:rsid w:val="00E8586E"/>
    <w:rsid w:val="00E870CB"/>
    <w:rsid w:val="00E874D7"/>
    <w:rsid w:val="00E901EA"/>
    <w:rsid w:val="00E91154"/>
    <w:rsid w:val="00E914CA"/>
    <w:rsid w:val="00E940E1"/>
    <w:rsid w:val="00EA078E"/>
    <w:rsid w:val="00EA0C83"/>
    <w:rsid w:val="00EA21E7"/>
    <w:rsid w:val="00EA4112"/>
    <w:rsid w:val="00EA481F"/>
    <w:rsid w:val="00EA4D10"/>
    <w:rsid w:val="00EA6DD9"/>
    <w:rsid w:val="00EA703E"/>
    <w:rsid w:val="00EB102F"/>
    <w:rsid w:val="00EB1AF1"/>
    <w:rsid w:val="00EB3B7A"/>
    <w:rsid w:val="00EB4C1F"/>
    <w:rsid w:val="00EB5B45"/>
    <w:rsid w:val="00EB6365"/>
    <w:rsid w:val="00EB6ABD"/>
    <w:rsid w:val="00EB79D4"/>
    <w:rsid w:val="00EC0727"/>
    <w:rsid w:val="00EC2396"/>
    <w:rsid w:val="00EC6DF8"/>
    <w:rsid w:val="00EC76DF"/>
    <w:rsid w:val="00ED238C"/>
    <w:rsid w:val="00ED25AF"/>
    <w:rsid w:val="00ED53B7"/>
    <w:rsid w:val="00ED6581"/>
    <w:rsid w:val="00ED7529"/>
    <w:rsid w:val="00EE209A"/>
    <w:rsid w:val="00EE35B6"/>
    <w:rsid w:val="00EE4103"/>
    <w:rsid w:val="00EF02B0"/>
    <w:rsid w:val="00EF12D3"/>
    <w:rsid w:val="00EF1BB8"/>
    <w:rsid w:val="00EF1EAA"/>
    <w:rsid w:val="00EF4483"/>
    <w:rsid w:val="00F0099C"/>
    <w:rsid w:val="00F020C8"/>
    <w:rsid w:val="00F0390C"/>
    <w:rsid w:val="00F06E29"/>
    <w:rsid w:val="00F076E6"/>
    <w:rsid w:val="00F10B6F"/>
    <w:rsid w:val="00F118CB"/>
    <w:rsid w:val="00F14194"/>
    <w:rsid w:val="00F173B8"/>
    <w:rsid w:val="00F201DA"/>
    <w:rsid w:val="00F212B5"/>
    <w:rsid w:val="00F2236C"/>
    <w:rsid w:val="00F26829"/>
    <w:rsid w:val="00F272BF"/>
    <w:rsid w:val="00F274E5"/>
    <w:rsid w:val="00F30B7A"/>
    <w:rsid w:val="00F36499"/>
    <w:rsid w:val="00F36B3A"/>
    <w:rsid w:val="00F36D90"/>
    <w:rsid w:val="00F4109E"/>
    <w:rsid w:val="00F42FEE"/>
    <w:rsid w:val="00F450DC"/>
    <w:rsid w:val="00F45CA4"/>
    <w:rsid w:val="00F46292"/>
    <w:rsid w:val="00F46617"/>
    <w:rsid w:val="00F5065C"/>
    <w:rsid w:val="00F554C9"/>
    <w:rsid w:val="00F55745"/>
    <w:rsid w:val="00F57E88"/>
    <w:rsid w:val="00F62D1C"/>
    <w:rsid w:val="00F70FE1"/>
    <w:rsid w:val="00F71223"/>
    <w:rsid w:val="00F71565"/>
    <w:rsid w:val="00F71984"/>
    <w:rsid w:val="00F737C2"/>
    <w:rsid w:val="00F746A3"/>
    <w:rsid w:val="00F747D5"/>
    <w:rsid w:val="00F76FC4"/>
    <w:rsid w:val="00F803F8"/>
    <w:rsid w:val="00F816E2"/>
    <w:rsid w:val="00F90ADA"/>
    <w:rsid w:val="00F90F8B"/>
    <w:rsid w:val="00F93098"/>
    <w:rsid w:val="00F94C0A"/>
    <w:rsid w:val="00F95511"/>
    <w:rsid w:val="00FA19D4"/>
    <w:rsid w:val="00FA67E0"/>
    <w:rsid w:val="00FA7333"/>
    <w:rsid w:val="00FB1D7F"/>
    <w:rsid w:val="00FB28BD"/>
    <w:rsid w:val="00FB2CD6"/>
    <w:rsid w:val="00FB7A14"/>
    <w:rsid w:val="00FC2541"/>
    <w:rsid w:val="00FC55F3"/>
    <w:rsid w:val="00FC649C"/>
    <w:rsid w:val="00FD401B"/>
    <w:rsid w:val="00FD5326"/>
    <w:rsid w:val="00FD6CA2"/>
    <w:rsid w:val="00FD710E"/>
    <w:rsid w:val="00FE1DAA"/>
    <w:rsid w:val="00FE2766"/>
    <w:rsid w:val="00FE4A0D"/>
    <w:rsid w:val="00FE7112"/>
    <w:rsid w:val="00FE7364"/>
    <w:rsid w:val="00FF287E"/>
    <w:rsid w:val="00FF3AAB"/>
    <w:rsid w:val="00FF3DD6"/>
    <w:rsid w:val="00FF681E"/>
    <w:rsid w:val="00FF6F56"/>
    <w:rsid w:val="00FF7C6C"/>
    <w:rsid w:val="02816183"/>
    <w:rsid w:val="02A901B1"/>
    <w:rsid w:val="03510820"/>
    <w:rsid w:val="0493BF63"/>
    <w:rsid w:val="067241F9"/>
    <w:rsid w:val="079FCD66"/>
    <w:rsid w:val="08BE7F22"/>
    <w:rsid w:val="097CBB42"/>
    <w:rsid w:val="0A492046"/>
    <w:rsid w:val="0BF05330"/>
    <w:rsid w:val="0C6FA4A7"/>
    <w:rsid w:val="0C7B7EC8"/>
    <w:rsid w:val="13161CC4"/>
    <w:rsid w:val="1326F459"/>
    <w:rsid w:val="13A20DA3"/>
    <w:rsid w:val="155BC4FC"/>
    <w:rsid w:val="1733AAC5"/>
    <w:rsid w:val="195D5D33"/>
    <w:rsid w:val="1E2E2809"/>
    <w:rsid w:val="1E9C2C80"/>
    <w:rsid w:val="20C0B61B"/>
    <w:rsid w:val="215E8102"/>
    <w:rsid w:val="220BD749"/>
    <w:rsid w:val="23E381D1"/>
    <w:rsid w:val="23E6BDFB"/>
    <w:rsid w:val="248FE575"/>
    <w:rsid w:val="252E2111"/>
    <w:rsid w:val="278B2BDA"/>
    <w:rsid w:val="29F795EE"/>
    <w:rsid w:val="2C1DEB3A"/>
    <w:rsid w:val="2CB00C5E"/>
    <w:rsid w:val="2DAC01E8"/>
    <w:rsid w:val="2ED00ACE"/>
    <w:rsid w:val="30DD08C9"/>
    <w:rsid w:val="31C91081"/>
    <w:rsid w:val="35D63AD2"/>
    <w:rsid w:val="37FB34E9"/>
    <w:rsid w:val="39AD29C2"/>
    <w:rsid w:val="3A8283C5"/>
    <w:rsid w:val="3BD27B93"/>
    <w:rsid w:val="420029EF"/>
    <w:rsid w:val="4202251D"/>
    <w:rsid w:val="4205E83E"/>
    <w:rsid w:val="421F35FC"/>
    <w:rsid w:val="43698F06"/>
    <w:rsid w:val="43A20BEF"/>
    <w:rsid w:val="447F60FF"/>
    <w:rsid w:val="450ACA9A"/>
    <w:rsid w:val="454DC147"/>
    <w:rsid w:val="478BC321"/>
    <w:rsid w:val="48D68BC1"/>
    <w:rsid w:val="49256D15"/>
    <w:rsid w:val="4C1C56AE"/>
    <w:rsid w:val="4E429FB4"/>
    <w:rsid w:val="4FA6F1E3"/>
    <w:rsid w:val="4FD620D9"/>
    <w:rsid w:val="515F90E4"/>
    <w:rsid w:val="528B372C"/>
    <w:rsid w:val="53AF56C8"/>
    <w:rsid w:val="543F88D4"/>
    <w:rsid w:val="5716E548"/>
    <w:rsid w:val="581626AF"/>
    <w:rsid w:val="5838AEA4"/>
    <w:rsid w:val="58C757BC"/>
    <w:rsid w:val="59CB4E9A"/>
    <w:rsid w:val="5EC773CD"/>
    <w:rsid w:val="5FF62B2D"/>
    <w:rsid w:val="61D8A5F2"/>
    <w:rsid w:val="624F9733"/>
    <w:rsid w:val="632B0869"/>
    <w:rsid w:val="63BEF928"/>
    <w:rsid w:val="65B4BE7D"/>
    <w:rsid w:val="6819CAA6"/>
    <w:rsid w:val="68F26919"/>
    <w:rsid w:val="697DCAC4"/>
    <w:rsid w:val="6AA2C007"/>
    <w:rsid w:val="6C6B0AA7"/>
    <w:rsid w:val="6D96F67F"/>
    <w:rsid w:val="6EDCC6B2"/>
    <w:rsid w:val="6FC1B59D"/>
    <w:rsid w:val="703F95DE"/>
    <w:rsid w:val="729EEF1D"/>
    <w:rsid w:val="72FDF437"/>
    <w:rsid w:val="74C5597A"/>
    <w:rsid w:val="76013759"/>
    <w:rsid w:val="77370417"/>
    <w:rsid w:val="781F7564"/>
    <w:rsid w:val="788F55AA"/>
    <w:rsid w:val="79435872"/>
    <w:rsid w:val="7A8A0137"/>
    <w:rsid w:val="7B759731"/>
    <w:rsid w:val="7BE9F144"/>
    <w:rsid w:val="7ED50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B9FD"/>
  <w15:chartTrackingRefBased/>
  <w15:docId w15:val="{38DA79E4-A569-4546-B5F1-13A8FE98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B6"/>
    <w:rPr>
      <w:rFonts w:ascii="Verdana" w:hAnsi="Verdana"/>
      <w:color w:val="071547"/>
    </w:rPr>
  </w:style>
  <w:style w:type="paragraph" w:styleId="Heading1">
    <w:name w:val="heading 1"/>
    <w:basedOn w:val="Normal"/>
    <w:next w:val="Normal"/>
    <w:link w:val="Heading1Char"/>
    <w:uiPriority w:val="9"/>
    <w:qFormat/>
    <w:rsid w:val="00C66CB6"/>
    <w:pPr>
      <w:keepNext/>
      <w:keepLines/>
      <w:spacing w:before="360" w:after="80"/>
      <w:outlineLvl w:val="0"/>
    </w:pPr>
    <w:rPr>
      <w:rFonts w:ascii="Work Sans SemiBold" w:eastAsiaTheme="majorEastAsia" w:hAnsi="Work Sans SemiBold" w:cstheme="majorBidi"/>
      <w:sz w:val="32"/>
      <w:szCs w:val="40"/>
    </w:rPr>
  </w:style>
  <w:style w:type="paragraph" w:styleId="Heading2">
    <w:name w:val="heading 2"/>
    <w:basedOn w:val="Normal"/>
    <w:next w:val="Normal"/>
    <w:link w:val="Heading2Char"/>
    <w:uiPriority w:val="9"/>
    <w:unhideWhenUsed/>
    <w:qFormat/>
    <w:rsid w:val="00C66CB6"/>
    <w:pPr>
      <w:keepNext/>
      <w:keepLines/>
      <w:spacing w:before="160" w:after="80"/>
      <w:outlineLvl w:val="1"/>
    </w:pPr>
    <w:rPr>
      <w:rFonts w:ascii="Work Sans SemiBold" w:eastAsiaTheme="majorEastAsia" w:hAnsi="Work Sans SemiBold" w:cstheme="majorBidi"/>
      <w:sz w:val="28"/>
      <w:szCs w:val="32"/>
    </w:rPr>
  </w:style>
  <w:style w:type="paragraph" w:styleId="Heading3">
    <w:name w:val="heading 3"/>
    <w:basedOn w:val="Normal"/>
    <w:next w:val="Normal"/>
    <w:link w:val="Heading3Char"/>
    <w:uiPriority w:val="9"/>
    <w:unhideWhenUsed/>
    <w:qFormat/>
    <w:rsid w:val="00C66CB6"/>
    <w:pPr>
      <w:keepNext/>
      <w:keepLines/>
      <w:spacing w:before="160" w:after="80"/>
      <w:outlineLvl w:val="2"/>
    </w:pPr>
    <w:rPr>
      <w:rFonts w:eastAsiaTheme="majorEastAsia" w:cstheme="majorBidi"/>
      <w:color w:val="0E2841" w:themeColor="text2"/>
      <w:sz w:val="24"/>
      <w:szCs w:val="28"/>
    </w:rPr>
  </w:style>
  <w:style w:type="paragraph" w:styleId="Heading4">
    <w:name w:val="heading 4"/>
    <w:basedOn w:val="Normal"/>
    <w:next w:val="Normal"/>
    <w:link w:val="Heading4Char"/>
    <w:uiPriority w:val="9"/>
    <w:unhideWhenUsed/>
    <w:rsid w:val="00C66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C66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CB6"/>
    <w:rPr>
      <w:rFonts w:ascii="Work Sans SemiBold" w:eastAsiaTheme="majorEastAsia" w:hAnsi="Work Sans SemiBold" w:cstheme="majorBidi"/>
      <w:color w:val="071547"/>
      <w:sz w:val="32"/>
      <w:szCs w:val="40"/>
    </w:rPr>
  </w:style>
  <w:style w:type="character" w:customStyle="1" w:styleId="Heading2Char">
    <w:name w:val="Heading 2 Char"/>
    <w:basedOn w:val="DefaultParagraphFont"/>
    <w:link w:val="Heading2"/>
    <w:uiPriority w:val="9"/>
    <w:rsid w:val="00C66CB6"/>
    <w:rPr>
      <w:rFonts w:ascii="Work Sans SemiBold" w:eastAsiaTheme="majorEastAsia" w:hAnsi="Work Sans SemiBold" w:cstheme="majorBidi"/>
      <w:color w:val="071547"/>
      <w:sz w:val="28"/>
      <w:szCs w:val="32"/>
    </w:rPr>
  </w:style>
  <w:style w:type="character" w:customStyle="1" w:styleId="Heading3Char">
    <w:name w:val="Heading 3 Char"/>
    <w:basedOn w:val="DefaultParagraphFont"/>
    <w:link w:val="Heading3"/>
    <w:uiPriority w:val="9"/>
    <w:rsid w:val="00C66CB6"/>
    <w:rPr>
      <w:rFonts w:ascii="Verdana" w:eastAsiaTheme="majorEastAsia" w:hAnsi="Verdana" w:cstheme="majorBidi"/>
      <w:color w:val="0E2841" w:themeColor="text2"/>
      <w:sz w:val="24"/>
      <w:szCs w:val="28"/>
    </w:rPr>
  </w:style>
  <w:style w:type="character" w:customStyle="1" w:styleId="Heading4Char">
    <w:name w:val="Heading 4 Char"/>
    <w:basedOn w:val="DefaultParagraphFont"/>
    <w:link w:val="Heading4"/>
    <w:uiPriority w:val="9"/>
    <w:rsid w:val="00C66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CB6"/>
    <w:rPr>
      <w:rFonts w:eastAsiaTheme="majorEastAsia" w:cstheme="majorBidi"/>
      <w:color w:val="272727" w:themeColor="text1" w:themeTint="D8"/>
    </w:rPr>
  </w:style>
  <w:style w:type="paragraph" w:styleId="Title">
    <w:name w:val="Title"/>
    <w:basedOn w:val="Normal"/>
    <w:next w:val="Normal"/>
    <w:link w:val="TitleChar"/>
    <w:uiPriority w:val="10"/>
    <w:qFormat/>
    <w:rsid w:val="004F2916"/>
    <w:pPr>
      <w:spacing w:after="80" w:line="240" w:lineRule="auto"/>
      <w:contextualSpacing/>
    </w:pPr>
    <w:rPr>
      <w:rFonts w:ascii="Work Sans SemiBold" w:eastAsiaTheme="majorEastAsia" w:hAnsi="Work Sans SemiBold" w:cstheme="majorBidi"/>
      <w:spacing w:val="-10"/>
      <w:kern w:val="28"/>
      <w:sz w:val="72"/>
      <w:szCs w:val="56"/>
    </w:rPr>
  </w:style>
  <w:style w:type="character" w:customStyle="1" w:styleId="TitleChar">
    <w:name w:val="Title Char"/>
    <w:basedOn w:val="DefaultParagraphFont"/>
    <w:link w:val="Title"/>
    <w:uiPriority w:val="10"/>
    <w:rsid w:val="004F2916"/>
    <w:rPr>
      <w:rFonts w:ascii="Work Sans SemiBold" w:eastAsiaTheme="majorEastAsia" w:hAnsi="Work Sans SemiBold" w:cstheme="majorBidi"/>
      <w:color w:val="071547"/>
      <w:spacing w:val="-10"/>
      <w:kern w:val="28"/>
      <w:sz w:val="72"/>
      <w:szCs w:val="56"/>
    </w:rPr>
  </w:style>
  <w:style w:type="paragraph" w:styleId="Subtitle">
    <w:name w:val="Subtitle"/>
    <w:basedOn w:val="Normal"/>
    <w:next w:val="Normal"/>
    <w:link w:val="SubtitleChar"/>
    <w:uiPriority w:val="11"/>
    <w:qFormat/>
    <w:rsid w:val="00105AEC"/>
    <w:pPr>
      <w:numPr>
        <w:ilvl w:val="1"/>
      </w:numPr>
    </w:pPr>
    <w:rPr>
      <w:rFonts w:ascii="Work Sans SemiBold" w:eastAsiaTheme="majorEastAsia" w:hAnsi="Work Sans SemiBold" w:cstheme="majorBidi"/>
      <w:spacing w:val="15"/>
      <w:sz w:val="32"/>
      <w:szCs w:val="28"/>
    </w:rPr>
  </w:style>
  <w:style w:type="character" w:customStyle="1" w:styleId="SubtitleChar">
    <w:name w:val="Subtitle Char"/>
    <w:basedOn w:val="DefaultParagraphFont"/>
    <w:link w:val="Subtitle"/>
    <w:uiPriority w:val="11"/>
    <w:rsid w:val="00105AEC"/>
    <w:rPr>
      <w:rFonts w:ascii="Work Sans SemiBold" w:eastAsiaTheme="majorEastAsia" w:hAnsi="Work Sans SemiBold" w:cstheme="majorBidi"/>
      <w:color w:val="071547"/>
      <w:spacing w:val="15"/>
      <w:sz w:val="32"/>
      <w:szCs w:val="28"/>
    </w:rPr>
  </w:style>
  <w:style w:type="paragraph" w:styleId="Quote">
    <w:name w:val="Quote"/>
    <w:basedOn w:val="Normal"/>
    <w:next w:val="Normal"/>
    <w:link w:val="QuoteChar"/>
    <w:uiPriority w:val="29"/>
    <w:qFormat/>
    <w:rsid w:val="00C66CB6"/>
    <w:pPr>
      <w:spacing w:before="160"/>
      <w:jc w:val="center"/>
    </w:pPr>
    <w:rPr>
      <w:i/>
      <w:iCs/>
    </w:rPr>
  </w:style>
  <w:style w:type="character" w:customStyle="1" w:styleId="QuoteChar">
    <w:name w:val="Quote Char"/>
    <w:basedOn w:val="DefaultParagraphFont"/>
    <w:link w:val="Quote"/>
    <w:uiPriority w:val="29"/>
    <w:rsid w:val="00C66CB6"/>
    <w:rPr>
      <w:rFonts w:ascii="Verdana" w:hAnsi="Verdana"/>
      <w:i/>
      <w:iCs/>
      <w:color w:val="071547"/>
    </w:rPr>
  </w:style>
  <w:style w:type="paragraph" w:styleId="ListParagraph">
    <w:name w:val="List Paragraph"/>
    <w:basedOn w:val="Normal"/>
    <w:uiPriority w:val="34"/>
    <w:rsid w:val="00C66CB6"/>
    <w:pPr>
      <w:ind w:left="720"/>
      <w:contextualSpacing/>
    </w:pPr>
  </w:style>
  <w:style w:type="character" w:styleId="IntenseEmphasis">
    <w:name w:val="Intense Emphasis"/>
    <w:basedOn w:val="DefaultParagraphFont"/>
    <w:uiPriority w:val="21"/>
    <w:rsid w:val="00C66CB6"/>
    <w:rPr>
      <w:i/>
      <w:iCs/>
      <w:color w:val="0F4761" w:themeColor="accent1" w:themeShade="BF"/>
    </w:rPr>
  </w:style>
  <w:style w:type="character" w:styleId="IntenseReference">
    <w:name w:val="Intense Reference"/>
    <w:basedOn w:val="DefaultParagraphFont"/>
    <w:uiPriority w:val="32"/>
    <w:rsid w:val="00343DC3"/>
    <w:rPr>
      <w:rFonts w:ascii="Verdana" w:hAnsi="Verdana"/>
      <w:b/>
      <w:bCs/>
      <w:color w:val="0E2841" w:themeColor="text2"/>
      <w:sz w:val="22"/>
    </w:rPr>
  </w:style>
  <w:style w:type="paragraph" w:styleId="NoSpacing">
    <w:name w:val="No Spacing"/>
    <w:uiPriority w:val="1"/>
    <w:rsid w:val="0032737E"/>
    <w:pPr>
      <w:spacing w:after="0" w:line="240" w:lineRule="auto"/>
    </w:pPr>
    <w:rPr>
      <w:rFonts w:ascii="Verdana" w:hAnsi="Verdana"/>
      <w:color w:val="071547"/>
    </w:rPr>
  </w:style>
  <w:style w:type="character" w:styleId="SubtleReference">
    <w:name w:val="Subtle Reference"/>
    <w:basedOn w:val="DefaultParagraphFont"/>
    <w:uiPriority w:val="31"/>
    <w:rsid w:val="00C66CB6"/>
    <w:rPr>
      <w:rFonts w:ascii="Verdana" w:hAnsi="Verdana"/>
      <w:smallCaps/>
      <w:color w:val="071547"/>
      <w:sz w:val="22"/>
    </w:rPr>
  </w:style>
  <w:style w:type="character" w:styleId="BookTitle">
    <w:name w:val="Book Title"/>
    <w:basedOn w:val="DefaultParagraphFont"/>
    <w:uiPriority w:val="33"/>
    <w:rsid w:val="00CB0DAE"/>
    <w:rPr>
      <w:rFonts w:ascii="Verdana" w:hAnsi="Verdana"/>
      <w:b/>
      <w:bCs/>
      <w:i/>
      <w:iCs/>
      <w:color w:val="0E2841" w:themeColor="text2"/>
      <w:spacing w:val="5"/>
      <w:sz w:val="22"/>
    </w:rPr>
  </w:style>
  <w:style w:type="paragraph" w:styleId="Header">
    <w:name w:val="header"/>
    <w:basedOn w:val="Normal"/>
    <w:link w:val="HeaderChar"/>
    <w:uiPriority w:val="99"/>
    <w:unhideWhenUsed/>
    <w:rsid w:val="00F9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DA"/>
    <w:rPr>
      <w:rFonts w:ascii="Verdana" w:hAnsi="Verdana"/>
      <w:color w:val="071547"/>
    </w:rPr>
  </w:style>
  <w:style w:type="paragraph" w:styleId="Footer">
    <w:name w:val="footer"/>
    <w:basedOn w:val="Normal"/>
    <w:link w:val="FooterChar"/>
    <w:uiPriority w:val="99"/>
    <w:unhideWhenUsed/>
    <w:rsid w:val="00F9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DA"/>
    <w:rPr>
      <w:rFonts w:ascii="Verdana" w:hAnsi="Verdana"/>
      <w:color w:val="071547"/>
    </w:rPr>
  </w:style>
  <w:style w:type="table" w:styleId="TableGrid">
    <w:name w:val="Table Grid"/>
    <w:basedOn w:val="TableNormal"/>
    <w:uiPriority w:val="39"/>
    <w:rsid w:val="00002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CA4"/>
    <w:rPr>
      <w:color w:val="467886" w:themeColor="hyperlink"/>
      <w:u w:val="single"/>
    </w:rPr>
  </w:style>
  <w:style w:type="character" w:styleId="UnresolvedMention">
    <w:name w:val="Unresolved Mention"/>
    <w:basedOn w:val="DefaultParagraphFont"/>
    <w:uiPriority w:val="99"/>
    <w:semiHidden/>
    <w:unhideWhenUsed/>
    <w:rsid w:val="00F45CA4"/>
    <w:rPr>
      <w:color w:val="605E5C"/>
      <w:shd w:val="clear" w:color="auto" w:fill="E1DFDD"/>
    </w:rPr>
  </w:style>
  <w:style w:type="numbering" w:customStyle="1" w:styleId="Style1">
    <w:name w:val="Style1"/>
    <w:uiPriority w:val="99"/>
    <w:rsid w:val="00001048"/>
    <w:pPr>
      <w:numPr>
        <w:numId w:val="3"/>
      </w:numPr>
    </w:pPr>
  </w:style>
  <w:style w:type="character" w:styleId="CommentReference">
    <w:name w:val="annotation reference"/>
    <w:basedOn w:val="DefaultParagraphFont"/>
    <w:uiPriority w:val="99"/>
    <w:semiHidden/>
    <w:unhideWhenUsed/>
    <w:rsid w:val="00732EB8"/>
    <w:rPr>
      <w:sz w:val="16"/>
      <w:szCs w:val="16"/>
    </w:rPr>
  </w:style>
  <w:style w:type="paragraph" w:styleId="CommentText">
    <w:name w:val="annotation text"/>
    <w:basedOn w:val="Normal"/>
    <w:link w:val="CommentTextChar"/>
    <w:uiPriority w:val="99"/>
    <w:unhideWhenUsed/>
    <w:rsid w:val="00732EB8"/>
    <w:pPr>
      <w:spacing w:line="240" w:lineRule="auto"/>
    </w:pPr>
    <w:rPr>
      <w:sz w:val="20"/>
      <w:szCs w:val="20"/>
    </w:rPr>
  </w:style>
  <w:style w:type="character" w:customStyle="1" w:styleId="CommentTextChar">
    <w:name w:val="Comment Text Char"/>
    <w:basedOn w:val="DefaultParagraphFont"/>
    <w:link w:val="CommentText"/>
    <w:uiPriority w:val="99"/>
    <w:rsid w:val="00732EB8"/>
    <w:rPr>
      <w:rFonts w:ascii="Verdana" w:hAnsi="Verdana"/>
      <w:color w:val="071547"/>
      <w:sz w:val="20"/>
      <w:szCs w:val="20"/>
    </w:rPr>
  </w:style>
  <w:style w:type="paragraph" w:styleId="CommentSubject">
    <w:name w:val="annotation subject"/>
    <w:basedOn w:val="CommentText"/>
    <w:next w:val="CommentText"/>
    <w:link w:val="CommentSubjectChar"/>
    <w:uiPriority w:val="99"/>
    <w:semiHidden/>
    <w:unhideWhenUsed/>
    <w:rsid w:val="00732EB8"/>
    <w:rPr>
      <w:b/>
      <w:bCs/>
    </w:rPr>
  </w:style>
  <w:style w:type="character" w:customStyle="1" w:styleId="CommentSubjectChar">
    <w:name w:val="Comment Subject Char"/>
    <w:basedOn w:val="CommentTextChar"/>
    <w:link w:val="CommentSubject"/>
    <w:uiPriority w:val="99"/>
    <w:semiHidden/>
    <w:rsid w:val="00732EB8"/>
    <w:rPr>
      <w:rFonts w:ascii="Verdana" w:hAnsi="Verdana"/>
      <w:b/>
      <w:bCs/>
      <w:color w:val="071547"/>
      <w:sz w:val="20"/>
      <w:szCs w:val="20"/>
    </w:rPr>
  </w:style>
  <w:style w:type="paragraph" w:styleId="Revision">
    <w:name w:val="Revision"/>
    <w:hidden/>
    <w:uiPriority w:val="99"/>
    <w:semiHidden/>
    <w:rsid w:val="00D02643"/>
    <w:pPr>
      <w:spacing w:after="0" w:line="240" w:lineRule="auto"/>
    </w:pPr>
    <w:rPr>
      <w:rFonts w:ascii="Verdana" w:hAnsi="Verdana"/>
      <w:color w:val="071547"/>
    </w:rPr>
  </w:style>
  <w:style w:type="character" w:styleId="Mention">
    <w:name w:val="Mention"/>
    <w:basedOn w:val="DefaultParagraphFont"/>
    <w:uiPriority w:val="99"/>
    <w:unhideWhenUsed/>
    <w:rsid w:val="000D2C6D"/>
    <w:rPr>
      <w:color w:val="2B579A"/>
      <w:shd w:val="clear" w:color="auto" w:fill="E1DFDD"/>
    </w:rPr>
  </w:style>
  <w:style w:type="paragraph" w:styleId="TOCHeading">
    <w:name w:val="TOC Heading"/>
    <w:basedOn w:val="Heading1"/>
    <w:next w:val="Normal"/>
    <w:uiPriority w:val="39"/>
    <w:unhideWhenUsed/>
    <w:qFormat/>
    <w:rsid w:val="00380F7C"/>
    <w:pPr>
      <w:spacing w:before="240" w:after="0"/>
      <w:outlineLvl w:val="9"/>
    </w:pPr>
    <w:rPr>
      <w:rFonts w:asciiTheme="majorHAnsi" w:hAnsiTheme="majorHAnsi"/>
      <w:color w:val="0F4761" w:themeColor="accent1" w:themeShade="BF"/>
      <w:szCs w:val="32"/>
      <w:lang w:val="en-US"/>
      <w14:ligatures w14:val="none"/>
    </w:rPr>
  </w:style>
  <w:style w:type="paragraph" w:styleId="TOC1">
    <w:name w:val="toc 1"/>
    <w:basedOn w:val="Normal"/>
    <w:next w:val="Normal"/>
    <w:autoRedefine/>
    <w:uiPriority w:val="39"/>
    <w:unhideWhenUsed/>
    <w:rsid w:val="00652A24"/>
    <w:pPr>
      <w:tabs>
        <w:tab w:val="left" w:pos="720"/>
        <w:tab w:val="right" w:leader="dot" w:pos="9350"/>
      </w:tabs>
      <w:spacing w:after="100"/>
    </w:pPr>
  </w:style>
  <w:style w:type="paragraph" w:styleId="TOC2">
    <w:name w:val="toc 2"/>
    <w:basedOn w:val="Normal"/>
    <w:next w:val="Normal"/>
    <w:autoRedefine/>
    <w:uiPriority w:val="39"/>
    <w:unhideWhenUsed/>
    <w:rsid w:val="00380F7C"/>
    <w:pPr>
      <w:spacing w:after="100"/>
      <w:ind w:left="220"/>
    </w:pPr>
    <w:rPr>
      <w:rFonts w:asciiTheme="minorHAnsi" w:eastAsiaTheme="minorEastAsia" w:hAnsiTheme="minorHAnsi" w:cs="Times New Roman"/>
      <w:color w:val="auto"/>
      <w:lang w:val="en-US"/>
      <w14:ligatures w14:val="none"/>
    </w:rPr>
  </w:style>
  <w:style w:type="paragraph" w:styleId="TOC3">
    <w:name w:val="toc 3"/>
    <w:basedOn w:val="Normal"/>
    <w:next w:val="Normal"/>
    <w:autoRedefine/>
    <w:uiPriority w:val="39"/>
    <w:unhideWhenUsed/>
    <w:rsid w:val="00380F7C"/>
    <w:pPr>
      <w:spacing w:after="100"/>
      <w:ind w:left="440"/>
    </w:pPr>
    <w:rPr>
      <w:rFonts w:asciiTheme="minorHAnsi" w:eastAsiaTheme="minorEastAsia" w:hAnsiTheme="minorHAnsi" w:cs="Times New Roman"/>
      <w:color w:val="auto"/>
      <w:lang w:val="en-US"/>
      <w14:ligatures w14:val="none"/>
    </w:rPr>
  </w:style>
  <w:style w:type="character" w:styleId="FollowedHyperlink">
    <w:name w:val="FollowedHyperlink"/>
    <w:basedOn w:val="DefaultParagraphFont"/>
    <w:uiPriority w:val="99"/>
    <w:semiHidden/>
    <w:unhideWhenUsed/>
    <w:rsid w:val="005709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fid-enhanced-due-diligence-safeguarding-for-external-partne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mc.ncbi.nlm.nih.gov/articles/PMC1179257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ivc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ivcc.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vc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16EB976F0C640A69461BBB9D13892" ma:contentTypeVersion="11" ma:contentTypeDescription="Create a new document." ma:contentTypeScope="" ma:versionID="cae1c5fab0fdf54bfc57958d4e8389b6">
  <xsd:schema xmlns:xsd="http://www.w3.org/2001/XMLSchema" xmlns:xs="http://www.w3.org/2001/XMLSchema" xmlns:p="http://schemas.microsoft.com/office/2006/metadata/properties" xmlns:ns2="3da0f2aa-2ce1-4d42-9230-f35741c0f659" xmlns:ns3="db34223c-05cb-4c59-abce-7fba8e81b2b1" targetNamespace="http://schemas.microsoft.com/office/2006/metadata/properties" ma:root="true" ma:fieldsID="d2760c2b8816f42d670b459341f36833" ns2:_="" ns3:_="">
    <xsd:import namespace="3da0f2aa-2ce1-4d42-9230-f35741c0f659"/>
    <xsd:import namespace="db34223c-05cb-4c59-abce-7fba8e81b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f2aa-2ce1-4d42-9230-f35741c0f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10342f-3527-4dcd-ac28-e59db492a8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4223c-05cb-4c59-abce-7fba8e81b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0af15-5643-4cb1-95f6-4ac1940eafbe}" ma:internalName="TaxCatchAll" ma:showField="CatchAllData" ma:web="1d42f3be-e795-40ad-9dd6-d5f560ff3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34223c-05cb-4c59-abce-7fba8e81b2b1" xsi:nil="true"/>
    <lcf76f155ced4ddcb4097134ff3c332f xmlns="3da0f2aa-2ce1-4d42-9230-f35741c0f6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84F986-6F1A-440B-ABA0-24F308FDA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f2aa-2ce1-4d42-9230-f35741c0f659"/>
    <ds:schemaRef ds:uri="db34223c-05cb-4c59-abce-7fba8e81b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00CAB-7060-4258-A6E4-45C00A02389E}">
  <ds:schemaRefs>
    <ds:schemaRef ds:uri="http://schemas.openxmlformats.org/officeDocument/2006/bibliography"/>
  </ds:schemaRefs>
</ds:datastoreItem>
</file>

<file path=customXml/itemProps3.xml><?xml version="1.0" encoding="utf-8"?>
<ds:datastoreItem xmlns:ds="http://schemas.openxmlformats.org/officeDocument/2006/customXml" ds:itemID="{5BB28D0F-441B-4E72-A916-339D0C2DA34D}">
  <ds:schemaRefs>
    <ds:schemaRef ds:uri="http://schemas.microsoft.com/sharepoint/v3/contenttype/forms"/>
  </ds:schemaRefs>
</ds:datastoreItem>
</file>

<file path=customXml/itemProps4.xml><?xml version="1.0" encoding="utf-8"?>
<ds:datastoreItem xmlns:ds="http://schemas.openxmlformats.org/officeDocument/2006/customXml" ds:itemID="{62466D18-E436-45D1-931E-10D75BF4BD96}">
  <ds:schemaRefs>
    <ds:schemaRef ds:uri="http://www.w3.org/XML/1998/namespace"/>
    <ds:schemaRef ds:uri="http://purl.org/dc/elements/1.1/"/>
    <ds:schemaRef ds:uri="db34223c-05cb-4c59-abce-7fba8e81b2b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3da0f2aa-2ce1-4d42-9230-f35741c0f65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3167</Words>
  <Characters>18058</Characters>
  <Application>Microsoft Office Word</Application>
  <DocSecurity>0</DocSecurity>
  <Lines>150</Lines>
  <Paragraphs>42</Paragraphs>
  <ScaleCrop>false</ScaleCrop>
  <Company/>
  <LinksUpToDate>false</LinksUpToDate>
  <CharactersWithSpaces>21183</CharactersWithSpaces>
  <SharedDoc>false</SharedDoc>
  <HLinks>
    <vt:vector size="90" baseType="variant">
      <vt:variant>
        <vt:i4>3538944</vt:i4>
      </vt:variant>
      <vt:variant>
        <vt:i4>75</vt:i4>
      </vt:variant>
      <vt:variant>
        <vt:i4>0</vt:i4>
      </vt:variant>
      <vt:variant>
        <vt:i4>5</vt:i4>
      </vt:variant>
      <vt:variant>
        <vt:lpwstr>mailto:info@ivcc.com</vt:lpwstr>
      </vt:variant>
      <vt:variant>
        <vt:lpwstr/>
      </vt:variant>
      <vt:variant>
        <vt:i4>3538944</vt:i4>
      </vt:variant>
      <vt:variant>
        <vt:i4>72</vt:i4>
      </vt:variant>
      <vt:variant>
        <vt:i4>0</vt:i4>
      </vt:variant>
      <vt:variant>
        <vt:i4>5</vt:i4>
      </vt:variant>
      <vt:variant>
        <vt:lpwstr>mailto:info@ivcc.com</vt:lpwstr>
      </vt:variant>
      <vt:variant>
        <vt:lpwstr/>
      </vt:variant>
      <vt:variant>
        <vt:i4>3538944</vt:i4>
      </vt:variant>
      <vt:variant>
        <vt:i4>69</vt:i4>
      </vt:variant>
      <vt:variant>
        <vt:i4>0</vt:i4>
      </vt:variant>
      <vt:variant>
        <vt:i4>5</vt:i4>
      </vt:variant>
      <vt:variant>
        <vt:lpwstr>mailto:info@ivcc.com</vt:lpwstr>
      </vt:variant>
      <vt:variant>
        <vt:lpwstr/>
      </vt:variant>
      <vt:variant>
        <vt:i4>327760</vt:i4>
      </vt:variant>
      <vt:variant>
        <vt:i4>66</vt:i4>
      </vt:variant>
      <vt:variant>
        <vt:i4>0</vt:i4>
      </vt:variant>
      <vt:variant>
        <vt:i4>5</vt:i4>
      </vt:variant>
      <vt:variant>
        <vt:lpwstr>https://www.gov.uk/government/publications/dfid-enhanced-due-diligence-safeguarding-for-external-partners</vt:lpwstr>
      </vt:variant>
      <vt:variant>
        <vt:lpwstr/>
      </vt:variant>
      <vt:variant>
        <vt:i4>3211306</vt:i4>
      </vt:variant>
      <vt:variant>
        <vt:i4>63</vt:i4>
      </vt:variant>
      <vt:variant>
        <vt:i4>0</vt:i4>
      </vt:variant>
      <vt:variant>
        <vt:i4>5</vt:i4>
      </vt:variant>
      <vt:variant>
        <vt:lpwstr>https://pmc.ncbi.nlm.nih.gov/articles/PMC11792574/</vt:lpwstr>
      </vt:variant>
      <vt:variant>
        <vt:lpwstr/>
      </vt:variant>
      <vt:variant>
        <vt:i4>1310775</vt:i4>
      </vt:variant>
      <vt:variant>
        <vt:i4>56</vt:i4>
      </vt:variant>
      <vt:variant>
        <vt:i4>0</vt:i4>
      </vt:variant>
      <vt:variant>
        <vt:i4>5</vt:i4>
      </vt:variant>
      <vt:variant>
        <vt:lpwstr/>
      </vt:variant>
      <vt:variant>
        <vt:lpwstr>_Toc228454813</vt:lpwstr>
      </vt:variant>
      <vt:variant>
        <vt:i4>1310775</vt:i4>
      </vt:variant>
      <vt:variant>
        <vt:i4>50</vt:i4>
      </vt:variant>
      <vt:variant>
        <vt:i4>0</vt:i4>
      </vt:variant>
      <vt:variant>
        <vt:i4>5</vt:i4>
      </vt:variant>
      <vt:variant>
        <vt:lpwstr/>
      </vt:variant>
      <vt:variant>
        <vt:lpwstr>_Toc228454812</vt:lpwstr>
      </vt:variant>
      <vt:variant>
        <vt:i4>1310775</vt:i4>
      </vt:variant>
      <vt:variant>
        <vt:i4>44</vt:i4>
      </vt:variant>
      <vt:variant>
        <vt:i4>0</vt:i4>
      </vt:variant>
      <vt:variant>
        <vt:i4>5</vt:i4>
      </vt:variant>
      <vt:variant>
        <vt:lpwstr/>
      </vt:variant>
      <vt:variant>
        <vt:lpwstr>_Toc228454811</vt:lpwstr>
      </vt:variant>
      <vt:variant>
        <vt:i4>1310775</vt:i4>
      </vt:variant>
      <vt:variant>
        <vt:i4>38</vt:i4>
      </vt:variant>
      <vt:variant>
        <vt:i4>0</vt:i4>
      </vt:variant>
      <vt:variant>
        <vt:i4>5</vt:i4>
      </vt:variant>
      <vt:variant>
        <vt:lpwstr/>
      </vt:variant>
      <vt:variant>
        <vt:lpwstr>_Toc228454810</vt:lpwstr>
      </vt:variant>
      <vt:variant>
        <vt:i4>1376311</vt:i4>
      </vt:variant>
      <vt:variant>
        <vt:i4>32</vt:i4>
      </vt:variant>
      <vt:variant>
        <vt:i4>0</vt:i4>
      </vt:variant>
      <vt:variant>
        <vt:i4>5</vt:i4>
      </vt:variant>
      <vt:variant>
        <vt:lpwstr/>
      </vt:variant>
      <vt:variant>
        <vt:lpwstr>_Toc228454809</vt:lpwstr>
      </vt:variant>
      <vt:variant>
        <vt:i4>1376311</vt:i4>
      </vt:variant>
      <vt:variant>
        <vt:i4>26</vt:i4>
      </vt:variant>
      <vt:variant>
        <vt:i4>0</vt:i4>
      </vt:variant>
      <vt:variant>
        <vt:i4>5</vt:i4>
      </vt:variant>
      <vt:variant>
        <vt:lpwstr/>
      </vt:variant>
      <vt:variant>
        <vt:lpwstr>_Toc228454808</vt:lpwstr>
      </vt:variant>
      <vt:variant>
        <vt:i4>1376311</vt:i4>
      </vt:variant>
      <vt:variant>
        <vt:i4>20</vt:i4>
      </vt:variant>
      <vt:variant>
        <vt:i4>0</vt:i4>
      </vt:variant>
      <vt:variant>
        <vt:i4>5</vt:i4>
      </vt:variant>
      <vt:variant>
        <vt:lpwstr/>
      </vt:variant>
      <vt:variant>
        <vt:lpwstr>_Toc228454807</vt:lpwstr>
      </vt:variant>
      <vt:variant>
        <vt:i4>1376311</vt:i4>
      </vt:variant>
      <vt:variant>
        <vt:i4>14</vt:i4>
      </vt:variant>
      <vt:variant>
        <vt:i4>0</vt:i4>
      </vt:variant>
      <vt:variant>
        <vt:i4>5</vt:i4>
      </vt:variant>
      <vt:variant>
        <vt:lpwstr/>
      </vt:variant>
      <vt:variant>
        <vt:lpwstr>_Toc228454806</vt:lpwstr>
      </vt:variant>
      <vt:variant>
        <vt:i4>1376311</vt:i4>
      </vt:variant>
      <vt:variant>
        <vt:i4>8</vt:i4>
      </vt:variant>
      <vt:variant>
        <vt:i4>0</vt:i4>
      </vt:variant>
      <vt:variant>
        <vt:i4>5</vt:i4>
      </vt:variant>
      <vt:variant>
        <vt:lpwstr/>
      </vt:variant>
      <vt:variant>
        <vt:lpwstr>_Toc228454805</vt:lpwstr>
      </vt:variant>
      <vt:variant>
        <vt:i4>1376311</vt:i4>
      </vt:variant>
      <vt:variant>
        <vt:i4>2</vt:i4>
      </vt:variant>
      <vt:variant>
        <vt:i4>0</vt:i4>
      </vt:variant>
      <vt:variant>
        <vt:i4>5</vt:i4>
      </vt:variant>
      <vt:variant>
        <vt:lpwstr/>
      </vt:variant>
      <vt:variant>
        <vt:lpwstr>_Toc228454804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Roberts</dc:creator>
  <cp:keywords/>
  <dc:description/>
  <cp:lastModifiedBy>Natalie Lissenden</cp:lastModifiedBy>
  <cp:revision>140</cp:revision>
  <dcterms:created xsi:type="dcterms:W3CDTF">2026-05-12T10:57:00Z</dcterms:created>
  <dcterms:modified xsi:type="dcterms:W3CDTF">2026-05-13T14:51:00Z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0x0101005A816EB976F0C640A69461BBB9D13892</vt:lpwstr>
  </property>
  <property fmtid="{D5CDD505-2E9C-101B-9397-08002B2CF9AE}" pid="3" name="GrammarlyDocumentId">
    <vt:lpwstr>6283f33a-4492-49c1-a8c1-fbf324b6b481</vt:lpwstr>
  </property>
  <property fmtid="{D5CDD505-2E9C-101B-9397-08002B2CF9AE}" pid="4" name="MediaServiceImageTags">
    <vt:lpwstr/>
  </property>
  <property fmtid="{D5CDD505-2E9C-101B-9397-08002B2CF9AE}" pid="5" name="MSIP_Label_2ce2f610-fd0b-44b8-a35c-a38d1bc660ca_Enabled">
    <vt:lpwstr>true</vt:lpwstr>
  </property>
  <property fmtid="{D5CDD505-2E9C-101B-9397-08002B2CF9AE}" pid="6" name="MSIP_Label_2ce2f610-fd0b-44b8-a35c-a38d1bc660ca_SetDate">
    <vt:lpwstr>2026-04-01T11:01:00Z</vt:lpwstr>
  </property>
  <property fmtid="{D5CDD505-2E9C-101B-9397-08002B2CF9AE}" pid="7" name="MSIP_Label_2ce2f610-fd0b-44b8-a35c-a38d1bc660ca_Method">
    <vt:lpwstr>Privileged</vt:lpwstr>
  </property>
  <property fmtid="{D5CDD505-2E9C-101B-9397-08002B2CF9AE}" pid="8" name="MSIP_Label_2ce2f610-fd0b-44b8-a35c-a38d1bc660ca_Name">
    <vt:lpwstr>Internal</vt:lpwstr>
  </property>
  <property fmtid="{D5CDD505-2E9C-101B-9397-08002B2CF9AE}" pid="9" name="MSIP_Label_2ce2f610-fd0b-44b8-a35c-a38d1bc660ca_SiteId">
    <vt:lpwstr>95400dc9-3920-4c60-a418-febcc09ef85a</vt:lpwstr>
  </property>
  <property fmtid="{D5CDD505-2E9C-101B-9397-08002B2CF9AE}" pid="10" name="MSIP_Label_2ce2f610-fd0b-44b8-a35c-a38d1bc660ca_ActionId">
    <vt:lpwstr>ed970d55-2acb-4267-b49d-72a42deee5d1</vt:lpwstr>
  </property>
  <property fmtid="{D5CDD505-2E9C-101B-9397-08002B2CF9AE}" pid="11" name="MSIP_Label_2ce2f610-fd0b-44b8-a35c-a38d1bc660ca_ContentBits">
    <vt:lpwstr>0</vt:lpwstr>
  </property>
  <property fmtid="{D5CDD505-2E9C-101B-9397-08002B2CF9AE}" pid="12" name="MSIP_Label_2ce2f610-fd0b-44b8-a35c-a38d1bc660ca_Tag">
    <vt:lpwstr>10, 0, 1, 1</vt:lpwstr>
  </property>
</Properties>
</file>